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79473" w14:textId="77777777" w:rsidR="005908FB" w:rsidRDefault="005908FB" w:rsidP="005908FB">
      <w:pPr>
        <w:spacing w:after="120" w:line="320" w:lineRule="exact"/>
        <w:rPr>
          <w:rFonts w:cstheme="minorHAnsi"/>
          <w:b/>
          <w:sz w:val="32"/>
          <w:szCs w:val="32"/>
          <w:u w:val="single"/>
        </w:rPr>
      </w:pPr>
    </w:p>
    <w:p w14:paraId="4D16F736" w14:textId="77777777" w:rsidR="005908FB" w:rsidRDefault="005908FB" w:rsidP="005908FB">
      <w:pPr>
        <w:spacing w:after="120" w:line="320" w:lineRule="exact"/>
        <w:jc w:val="center"/>
        <w:rPr>
          <w:rFonts w:cstheme="minorHAnsi"/>
          <w:b/>
          <w:sz w:val="32"/>
          <w:szCs w:val="32"/>
          <w:u w:val="single"/>
        </w:rPr>
      </w:pPr>
      <w:r>
        <w:rPr>
          <w:rFonts w:cstheme="minorHAnsi"/>
          <w:b/>
          <w:sz w:val="32"/>
          <w:szCs w:val="32"/>
          <w:u w:val="single"/>
        </w:rPr>
        <w:t>Hexacycline</w:t>
      </w:r>
    </w:p>
    <w:p w14:paraId="0516C0FE" w14:textId="77777777" w:rsidR="005908FB" w:rsidRDefault="005908FB" w:rsidP="005908FB">
      <w:pPr>
        <w:spacing w:after="120" w:line="320" w:lineRule="exact"/>
        <w:jc w:val="center"/>
        <w:rPr>
          <w:rFonts w:cstheme="minorHAnsi"/>
          <w:b/>
          <w:sz w:val="28"/>
          <w:szCs w:val="28"/>
        </w:rPr>
      </w:pPr>
      <w:r>
        <w:rPr>
          <w:rFonts w:cstheme="minorHAnsi"/>
          <w:b/>
          <w:sz w:val="28"/>
          <w:szCs w:val="28"/>
        </w:rPr>
        <w:t>(Powder for Oral Solution)</w:t>
      </w:r>
    </w:p>
    <w:p w14:paraId="54F672BD" w14:textId="77777777" w:rsidR="005908FB" w:rsidRDefault="005908FB" w:rsidP="005908FB">
      <w:pPr>
        <w:spacing w:after="120" w:line="320" w:lineRule="exact"/>
        <w:jc w:val="center"/>
        <w:rPr>
          <w:rFonts w:cstheme="minorHAnsi"/>
          <w:b/>
          <w:sz w:val="20"/>
        </w:rPr>
      </w:pPr>
      <w:r>
        <w:rPr>
          <w:rFonts w:cstheme="minorHAnsi"/>
          <w:b/>
          <w:sz w:val="28"/>
          <w:szCs w:val="28"/>
        </w:rPr>
        <w:t>For vet use only</w:t>
      </w:r>
    </w:p>
    <w:p w14:paraId="0D9CABC8" w14:textId="77777777" w:rsidR="005908FB" w:rsidRDefault="005908FB" w:rsidP="005908FB">
      <w:pPr>
        <w:spacing w:after="120" w:line="320" w:lineRule="exact"/>
        <w:jc w:val="center"/>
        <w:rPr>
          <w:rFonts w:cstheme="minorHAnsi"/>
          <w:b/>
          <w:sz w:val="20"/>
        </w:rPr>
      </w:pPr>
    </w:p>
    <w:p w14:paraId="4E76D971" w14:textId="77777777" w:rsidR="005908FB" w:rsidRDefault="005908FB" w:rsidP="005908FB">
      <w:pPr>
        <w:spacing w:before="11" w:after="0" w:line="160" w:lineRule="atLeast"/>
        <w:ind w:left="567"/>
        <w:rPr>
          <w:rFonts w:asciiTheme="minorHAnsi" w:hAnsiTheme="minorHAnsi" w:cstheme="minorHAnsi"/>
          <w:sz w:val="23"/>
          <w:szCs w:val="23"/>
        </w:rPr>
      </w:pPr>
      <w:r>
        <w:rPr>
          <w:rFonts w:asciiTheme="minorHAnsi" w:hAnsiTheme="minorHAnsi" w:cstheme="minorHAnsi"/>
          <w:b/>
          <w:sz w:val="23"/>
          <w:szCs w:val="23"/>
          <w:u w:val="single"/>
        </w:rPr>
        <w:t>Composition</w:t>
      </w:r>
      <w:r>
        <w:rPr>
          <w:rFonts w:asciiTheme="minorHAnsi" w:hAnsiTheme="minorHAnsi" w:cstheme="minorHAnsi"/>
          <w:sz w:val="23"/>
          <w:szCs w:val="23"/>
        </w:rPr>
        <w:t>:   Each 1 gm contains:</w:t>
      </w:r>
    </w:p>
    <w:p w14:paraId="4080B053" w14:textId="77777777" w:rsidR="005908FB" w:rsidRDefault="005908FB" w:rsidP="005908FB">
      <w:pPr>
        <w:pStyle w:val="ListParagraph"/>
        <w:bidi w:val="0"/>
        <w:spacing w:before="11" w:after="0" w:line="160" w:lineRule="atLeast"/>
        <w:ind w:left="567"/>
        <w:rPr>
          <w:rFonts w:cstheme="minorHAnsi"/>
          <w:sz w:val="23"/>
          <w:szCs w:val="23"/>
        </w:rPr>
      </w:pPr>
      <w:r>
        <w:rPr>
          <w:rFonts w:cstheme="minorHAnsi"/>
          <w:sz w:val="23"/>
          <w:szCs w:val="23"/>
        </w:rPr>
        <w:t>- Doxycycline (as hyclate) 400 mg.</w:t>
      </w:r>
    </w:p>
    <w:p w14:paraId="23F925B0" w14:textId="77777777" w:rsidR="005908FB" w:rsidRDefault="005908FB" w:rsidP="005908FB">
      <w:pPr>
        <w:pStyle w:val="ListParagraph"/>
        <w:bidi w:val="0"/>
        <w:spacing w:before="11" w:after="0" w:line="160" w:lineRule="atLeast"/>
        <w:ind w:left="567"/>
        <w:rPr>
          <w:rFonts w:cstheme="minorHAnsi"/>
          <w:sz w:val="23"/>
          <w:szCs w:val="23"/>
        </w:rPr>
      </w:pPr>
      <w:r>
        <w:rPr>
          <w:rFonts w:cstheme="minorHAnsi"/>
          <w:sz w:val="23"/>
          <w:szCs w:val="23"/>
        </w:rPr>
        <w:t>- Bromhexine (as hydrochloride) 40 mg</w:t>
      </w:r>
    </w:p>
    <w:p w14:paraId="282799FF" w14:textId="77777777" w:rsidR="005908FB" w:rsidRDefault="005908FB" w:rsidP="005908FB">
      <w:pPr>
        <w:tabs>
          <w:tab w:val="left" w:pos="1280"/>
        </w:tabs>
        <w:spacing w:after="0" w:line="160" w:lineRule="atLeast"/>
        <w:ind w:left="567" w:right="6223"/>
        <w:jc w:val="both"/>
        <w:rPr>
          <w:rFonts w:asciiTheme="minorHAnsi" w:hAnsiTheme="minorHAnsi" w:cstheme="minorHAnsi"/>
          <w:b/>
          <w:sz w:val="23"/>
          <w:szCs w:val="23"/>
          <w:u w:val="single"/>
        </w:rPr>
      </w:pPr>
      <w:r>
        <w:rPr>
          <w:rFonts w:asciiTheme="minorHAnsi" w:hAnsiTheme="minorHAnsi" w:cstheme="minorHAnsi"/>
          <w:b/>
          <w:sz w:val="23"/>
          <w:szCs w:val="23"/>
          <w:u w:val="single"/>
        </w:rPr>
        <w:t>Properties:</w:t>
      </w:r>
    </w:p>
    <w:p w14:paraId="124B82F0" w14:textId="77777777" w:rsidR="005908FB" w:rsidRDefault="005908FB" w:rsidP="005908FB">
      <w:pPr>
        <w:pStyle w:val="ListParagraph"/>
        <w:tabs>
          <w:tab w:val="right" w:pos="880"/>
        </w:tabs>
        <w:autoSpaceDE w:val="0"/>
        <w:autoSpaceDN w:val="0"/>
        <w:bidi w:val="0"/>
        <w:adjustRightInd w:val="0"/>
        <w:spacing w:after="0" w:line="240" w:lineRule="auto"/>
        <w:ind w:left="567"/>
        <w:rPr>
          <w:rFonts w:cstheme="minorHAnsi"/>
          <w:sz w:val="23"/>
          <w:szCs w:val="23"/>
        </w:rPr>
      </w:pPr>
      <w:r>
        <w:rPr>
          <w:rFonts w:cstheme="minorHAnsi"/>
          <w:b/>
          <w:bCs/>
          <w:sz w:val="23"/>
          <w:szCs w:val="23"/>
        </w:rPr>
        <w:t>Doxycycline</w:t>
      </w:r>
      <w:r>
        <w:rPr>
          <w:rFonts w:cstheme="minorHAnsi"/>
          <w:sz w:val="23"/>
          <w:szCs w:val="23"/>
        </w:rPr>
        <w:t xml:space="preserve"> is a Tetracycline antibiotic that</w:t>
      </w:r>
      <w:r>
        <w:rPr>
          <w:rStyle w:val="microorganism"/>
          <w:rFonts w:cstheme="minorHAnsi"/>
          <w:sz w:val="23"/>
          <w:szCs w:val="23"/>
        </w:rPr>
        <w:t xml:space="preserve"> </w:t>
      </w:r>
      <w:r>
        <w:rPr>
          <w:rFonts w:cstheme="minorHAnsi"/>
          <w:sz w:val="23"/>
          <w:szCs w:val="23"/>
        </w:rPr>
        <w:t>acts by reversible binding to the bacterial 30S ribosomal subunit, and specifically at the aminoacyl-tRNA receptor site on the mRNA ribosomal complex, thus preventing ribosomal translation. Doxycycline</w:t>
      </w:r>
      <w:r>
        <w:rPr>
          <w:rStyle w:val="microorganism"/>
          <w:rFonts w:cstheme="minorHAnsi"/>
          <w:sz w:val="23"/>
          <w:szCs w:val="23"/>
        </w:rPr>
        <w:t xml:space="preserve"> </w:t>
      </w:r>
      <w:r>
        <w:rPr>
          <w:rFonts w:cstheme="minorHAnsi"/>
          <w:sz w:val="23"/>
          <w:szCs w:val="23"/>
        </w:rPr>
        <w:t xml:space="preserve">has broad spectrum activity inhibiting both aerobic and anaerobic gram-positive and gram-negative bacteria, </w:t>
      </w:r>
      <w:r>
        <w:rPr>
          <w:rFonts w:cstheme="minorHAnsi"/>
          <w:i/>
          <w:iCs/>
          <w:sz w:val="23"/>
          <w:szCs w:val="23"/>
        </w:rPr>
        <w:t>mycoplasmas</w:t>
      </w:r>
      <w:r>
        <w:rPr>
          <w:rFonts w:cstheme="minorHAnsi"/>
          <w:sz w:val="23"/>
          <w:szCs w:val="23"/>
        </w:rPr>
        <w:t xml:space="preserve">, </w:t>
      </w:r>
      <w:r>
        <w:rPr>
          <w:rFonts w:cstheme="minorHAnsi"/>
          <w:i/>
          <w:iCs/>
          <w:sz w:val="23"/>
          <w:szCs w:val="23"/>
        </w:rPr>
        <w:t>chlamydiae</w:t>
      </w:r>
      <w:r>
        <w:rPr>
          <w:rFonts w:cstheme="minorHAnsi"/>
          <w:sz w:val="23"/>
          <w:szCs w:val="23"/>
        </w:rPr>
        <w:t xml:space="preserve">, </w:t>
      </w:r>
      <w:r>
        <w:rPr>
          <w:rFonts w:cstheme="minorHAnsi"/>
          <w:i/>
          <w:iCs/>
          <w:sz w:val="23"/>
          <w:szCs w:val="23"/>
        </w:rPr>
        <w:t>rickettsias</w:t>
      </w:r>
      <w:r>
        <w:rPr>
          <w:rFonts w:cstheme="minorHAnsi"/>
          <w:sz w:val="23"/>
          <w:szCs w:val="23"/>
        </w:rPr>
        <w:t xml:space="preserve"> and some </w:t>
      </w:r>
      <w:r>
        <w:rPr>
          <w:rFonts w:cstheme="minorHAnsi"/>
          <w:i/>
          <w:iCs/>
          <w:sz w:val="23"/>
          <w:szCs w:val="23"/>
        </w:rPr>
        <w:t>protozoa</w:t>
      </w:r>
      <w:r>
        <w:rPr>
          <w:rFonts w:cstheme="minorHAnsi"/>
          <w:sz w:val="23"/>
          <w:szCs w:val="23"/>
        </w:rPr>
        <w:t>.</w:t>
      </w:r>
    </w:p>
    <w:p w14:paraId="75EAE69C" w14:textId="77777777" w:rsidR="005908FB" w:rsidRDefault="005908FB" w:rsidP="005908FB">
      <w:pPr>
        <w:autoSpaceDE w:val="0"/>
        <w:autoSpaceDN w:val="0"/>
        <w:adjustRightInd w:val="0"/>
        <w:spacing w:after="0" w:line="240" w:lineRule="auto"/>
        <w:ind w:left="567"/>
        <w:rPr>
          <w:rFonts w:asciiTheme="minorHAnsi" w:hAnsiTheme="minorHAnsi" w:cstheme="minorHAnsi"/>
          <w:sz w:val="23"/>
          <w:szCs w:val="23"/>
        </w:rPr>
      </w:pPr>
      <w:r>
        <w:rPr>
          <w:rFonts w:asciiTheme="minorHAnsi" w:eastAsiaTheme="minorEastAsia" w:hAnsiTheme="minorHAnsi" w:cstheme="minorHAnsi"/>
          <w:b/>
          <w:bCs/>
          <w:sz w:val="23"/>
          <w:szCs w:val="23"/>
        </w:rPr>
        <w:t>Bromhexine</w:t>
      </w:r>
      <w:r>
        <w:rPr>
          <w:rFonts w:asciiTheme="minorHAnsi" w:eastAsiaTheme="minorEastAsia" w:hAnsiTheme="minorHAnsi" w:cstheme="minorHAnsi"/>
          <w:sz w:val="23"/>
          <w:szCs w:val="23"/>
        </w:rPr>
        <w:t xml:space="preserve"> is a mucoregulator. By activating the secretion of the seromucous glands, It breaks down the network of acid glycoprotein fibres found in mucoid sputum, which are mainly responsible for the characteristic viscosity</w:t>
      </w:r>
      <w:r>
        <w:rPr>
          <w:rFonts w:asciiTheme="minorHAnsi" w:hAnsiTheme="minorHAnsi" w:cstheme="minorHAnsi"/>
          <w:sz w:val="23"/>
          <w:szCs w:val="23"/>
        </w:rPr>
        <w:t>.</w:t>
      </w:r>
    </w:p>
    <w:p w14:paraId="4F9DDC11" w14:textId="77777777" w:rsidR="005908FB" w:rsidRDefault="005908FB" w:rsidP="005908FB">
      <w:pPr>
        <w:autoSpaceDE w:val="0"/>
        <w:autoSpaceDN w:val="0"/>
        <w:adjustRightInd w:val="0"/>
        <w:spacing w:after="0" w:line="240" w:lineRule="auto"/>
        <w:ind w:left="567"/>
        <w:rPr>
          <w:rFonts w:asciiTheme="minorHAnsi" w:hAnsiTheme="minorHAnsi" w:cstheme="minorHAnsi"/>
          <w:sz w:val="23"/>
          <w:szCs w:val="23"/>
        </w:rPr>
      </w:pPr>
    </w:p>
    <w:p w14:paraId="76105981" w14:textId="77777777" w:rsidR="005908FB" w:rsidRDefault="005908FB" w:rsidP="005908FB">
      <w:pPr>
        <w:tabs>
          <w:tab w:val="left" w:pos="1280"/>
        </w:tabs>
        <w:spacing w:after="0" w:line="160" w:lineRule="atLeast"/>
        <w:ind w:left="567" w:right="2651"/>
        <w:jc w:val="both"/>
        <w:rPr>
          <w:rFonts w:asciiTheme="minorHAnsi" w:hAnsiTheme="minorHAnsi" w:cstheme="minorHAnsi"/>
          <w:sz w:val="23"/>
          <w:szCs w:val="23"/>
          <w:u w:val="single"/>
        </w:rPr>
      </w:pPr>
      <w:r>
        <w:rPr>
          <w:rFonts w:asciiTheme="minorHAnsi" w:hAnsiTheme="minorHAnsi" w:cstheme="minorHAnsi"/>
          <w:b/>
          <w:sz w:val="23"/>
          <w:szCs w:val="23"/>
          <w:u w:val="single"/>
        </w:rPr>
        <w:t>Indication</w:t>
      </w:r>
      <w:r>
        <w:rPr>
          <w:rFonts w:asciiTheme="minorHAnsi" w:hAnsiTheme="minorHAnsi" w:cstheme="minorHAnsi"/>
          <w:sz w:val="23"/>
          <w:szCs w:val="23"/>
          <w:u w:val="single"/>
        </w:rPr>
        <w:t>:</w:t>
      </w:r>
    </w:p>
    <w:p w14:paraId="6C46A831" w14:textId="77777777" w:rsidR="005908FB" w:rsidRPr="005908FB" w:rsidRDefault="005908FB" w:rsidP="005908FB">
      <w:pPr>
        <w:pStyle w:val="ListParagraph"/>
        <w:numPr>
          <w:ilvl w:val="0"/>
          <w:numId w:val="2"/>
        </w:numPr>
        <w:autoSpaceDE w:val="0"/>
        <w:autoSpaceDN w:val="0"/>
        <w:bidi w:val="0"/>
        <w:adjustRightInd w:val="0"/>
        <w:spacing w:after="0" w:line="240" w:lineRule="auto"/>
        <w:rPr>
          <w:rFonts w:eastAsiaTheme="minorHAnsi" w:cstheme="minorHAnsi"/>
          <w:b/>
          <w:bCs/>
          <w:sz w:val="23"/>
          <w:szCs w:val="23"/>
        </w:rPr>
      </w:pPr>
      <w:r w:rsidRPr="005908FB">
        <w:rPr>
          <w:rFonts w:eastAsiaTheme="minorHAnsi" w:cstheme="minorHAnsi"/>
          <w:b/>
          <w:bCs/>
          <w:sz w:val="23"/>
          <w:szCs w:val="23"/>
        </w:rPr>
        <w:t>Broilers chickens:</w:t>
      </w:r>
    </w:p>
    <w:p w14:paraId="6DAF433A"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 xml:space="preserve">- Treatment of respiratory tract infections caused by </w:t>
      </w:r>
      <w:r>
        <w:rPr>
          <w:rFonts w:asciiTheme="minorHAnsi" w:eastAsiaTheme="minorHAnsi" w:hAnsiTheme="minorHAnsi" w:cstheme="minorHAnsi"/>
          <w:i/>
          <w:iCs/>
          <w:sz w:val="23"/>
          <w:szCs w:val="23"/>
        </w:rPr>
        <w:t xml:space="preserve">Mycoplasma </w:t>
      </w:r>
      <w:r>
        <w:rPr>
          <w:rFonts w:asciiTheme="minorHAnsi" w:eastAsiaTheme="minorHAnsi" w:hAnsiTheme="minorHAnsi" w:cstheme="minorHAnsi"/>
          <w:sz w:val="23"/>
          <w:szCs w:val="23"/>
        </w:rPr>
        <w:t xml:space="preserve">spp., </w:t>
      </w:r>
      <w:r>
        <w:rPr>
          <w:rFonts w:asciiTheme="minorHAnsi" w:eastAsiaTheme="minorHAnsi" w:hAnsiTheme="minorHAnsi" w:cstheme="minorHAnsi"/>
          <w:i/>
          <w:iCs/>
          <w:sz w:val="23"/>
          <w:szCs w:val="23"/>
        </w:rPr>
        <w:t>Escherichia coli</w:t>
      </w:r>
      <w:r>
        <w:rPr>
          <w:rFonts w:asciiTheme="minorHAnsi" w:eastAsiaTheme="minorHAnsi" w:hAnsiTheme="minorHAnsi" w:cstheme="minorHAnsi"/>
          <w:sz w:val="23"/>
          <w:szCs w:val="23"/>
        </w:rPr>
        <w:t xml:space="preserve">, </w:t>
      </w:r>
      <w:r>
        <w:rPr>
          <w:rFonts w:asciiTheme="minorHAnsi" w:eastAsiaTheme="minorHAnsi" w:hAnsiTheme="minorHAnsi" w:cstheme="minorHAnsi"/>
          <w:i/>
          <w:iCs/>
          <w:sz w:val="23"/>
          <w:szCs w:val="23"/>
        </w:rPr>
        <w:t xml:space="preserve">Haemophilus paragallinarum </w:t>
      </w:r>
      <w:r>
        <w:rPr>
          <w:rFonts w:asciiTheme="minorHAnsi" w:eastAsiaTheme="minorHAnsi" w:hAnsiTheme="minorHAnsi" w:cstheme="minorHAnsi"/>
          <w:sz w:val="23"/>
          <w:szCs w:val="23"/>
        </w:rPr>
        <w:t xml:space="preserve">and </w:t>
      </w:r>
      <w:r>
        <w:rPr>
          <w:rFonts w:asciiTheme="minorHAnsi" w:eastAsiaTheme="minorHAnsi" w:hAnsiTheme="minorHAnsi" w:cstheme="minorHAnsi"/>
          <w:i/>
          <w:iCs/>
          <w:sz w:val="23"/>
          <w:szCs w:val="23"/>
        </w:rPr>
        <w:t>Bordetella avium</w:t>
      </w:r>
      <w:r>
        <w:rPr>
          <w:rFonts w:asciiTheme="minorHAnsi" w:eastAsiaTheme="minorHAnsi" w:hAnsiTheme="minorHAnsi" w:cstheme="minorHAnsi"/>
          <w:sz w:val="23"/>
          <w:szCs w:val="23"/>
        </w:rPr>
        <w:t>.</w:t>
      </w:r>
    </w:p>
    <w:p w14:paraId="77B309C5" w14:textId="77777777" w:rsidR="005908FB" w:rsidRPr="005908FB" w:rsidRDefault="005908FB" w:rsidP="005908FB">
      <w:pPr>
        <w:pStyle w:val="ListParagraph"/>
        <w:numPr>
          <w:ilvl w:val="0"/>
          <w:numId w:val="1"/>
        </w:numPr>
        <w:autoSpaceDE w:val="0"/>
        <w:autoSpaceDN w:val="0"/>
        <w:bidi w:val="0"/>
        <w:adjustRightInd w:val="0"/>
        <w:spacing w:after="0" w:line="240" w:lineRule="auto"/>
        <w:rPr>
          <w:rFonts w:eastAsiaTheme="minorHAnsi" w:cstheme="minorHAnsi"/>
          <w:b/>
          <w:bCs/>
          <w:sz w:val="23"/>
          <w:szCs w:val="23"/>
        </w:rPr>
      </w:pPr>
      <w:r w:rsidRPr="005908FB">
        <w:rPr>
          <w:rFonts w:eastAsiaTheme="minorHAnsi" w:cstheme="minorHAnsi"/>
          <w:b/>
          <w:bCs/>
          <w:sz w:val="23"/>
          <w:szCs w:val="23"/>
        </w:rPr>
        <w:t>Cattle (Pre-ruminant calves):</w:t>
      </w:r>
    </w:p>
    <w:p w14:paraId="2A8AB497"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i/>
          <w:iCs/>
          <w:sz w:val="23"/>
          <w:szCs w:val="23"/>
        </w:rPr>
      </w:pPr>
      <w:r>
        <w:rPr>
          <w:rFonts w:asciiTheme="minorHAnsi" w:eastAsiaTheme="minorHAnsi" w:hAnsiTheme="minorHAnsi" w:cstheme="minorHAnsi"/>
          <w:sz w:val="23"/>
          <w:szCs w:val="23"/>
        </w:rPr>
        <w:t xml:space="preserve">- Treatment of Bronchopneumonia and pleuropneumonia caused by </w:t>
      </w:r>
      <w:r>
        <w:rPr>
          <w:rFonts w:asciiTheme="minorHAnsi" w:eastAsiaTheme="minorHAnsi" w:hAnsiTheme="minorHAnsi" w:cstheme="minorHAnsi"/>
          <w:i/>
          <w:iCs/>
          <w:sz w:val="23"/>
          <w:szCs w:val="23"/>
        </w:rPr>
        <w:t xml:space="preserve">Pasteurella </w:t>
      </w:r>
      <w:r>
        <w:rPr>
          <w:rFonts w:asciiTheme="minorHAnsi" w:eastAsiaTheme="minorHAnsi" w:hAnsiTheme="minorHAnsi" w:cstheme="minorHAnsi"/>
          <w:sz w:val="23"/>
          <w:szCs w:val="23"/>
        </w:rPr>
        <w:t xml:space="preserve">spp., </w:t>
      </w:r>
      <w:r>
        <w:rPr>
          <w:rFonts w:asciiTheme="minorHAnsi" w:eastAsiaTheme="minorHAnsi" w:hAnsiTheme="minorHAnsi" w:cstheme="minorHAnsi"/>
          <w:i/>
          <w:iCs/>
          <w:sz w:val="23"/>
          <w:szCs w:val="23"/>
        </w:rPr>
        <w:t xml:space="preserve">Streptococcus </w:t>
      </w:r>
      <w:r>
        <w:rPr>
          <w:rFonts w:asciiTheme="minorHAnsi" w:eastAsiaTheme="minorHAnsi" w:hAnsiTheme="minorHAnsi" w:cstheme="minorHAnsi"/>
          <w:sz w:val="23"/>
          <w:szCs w:val="23"/>
        </w:rPr>
        <w:t xml:space="preserve">spp., </w:t>
      </w:r>
      <w:r>
        <w:rPr>
          <w:rFonts w:asciiTheme="minorHAnsi" w:eastAsiaTheme="minorHAnsi" w:hAnsiTheme="minorHAnsi" w:cstheme="minorHAnsi"/>
          <w:i/>
          <w:iCs/>
          <w:sz w:val="23"/>
          <w:szCs w:val="23"/>
        </w:rPr>
        <w:t xml:space="preserve">Trueperella pyogenes, Histophilus somni </w:t>
      </w:r>
      <w:r>
        <w:rPr>
          <w:rFonts w:asciiTheme="minorHAnsi" w:eastAsiaTheme="minorHAnsi" w:hAnsiTheme="minorHAnsi" w:cstheme="minorHAnsi"/>
          <w:sz w:val="23"/>
          <w:szCs w:val="23"/>
        </w:rPr>
        <w:t xml:space="preserve">and </w:t>
      </w:r>
      <w:r>
        <w:rPr>
          <w:rFonts w:asciiTheme="minorHAnsi" w:eastAsiaTheme="minorHAnsi" w:hAnsiTheme="minorHAnsi" w:cstheme="minorHAnsi"/>
          <w:i/>
          <w:iCs/>
          <w:sz w:val="23"/>
          <w:szCs w:val="23"/>
        </w:rPr>
        <w:t xml:space="preserve">Mycoplasma </w:t>
      </w:r>
      <w:r>
        <w:rPr>
          <w:rFonts w:asciiTheme="minorHAnsi" w:eastAsiaTheme="minorHAnsi" w:hAnsiTheme="minorHAnsi" w:cstheme="minorHAnsi"/>
          <w:sz w:val="23"/>
          <w:szCs w:val="23"/>
        </w:rPr>
        <w:t>spp.</w:t>
      </w:r>
    </w:p>
    <w:p w14:paraId="263EDF98" w14:textId="77777777" w:rsidR="005908FB" w:rsidRPr="005908FB" w:rsidRDefault="005908FB" w:rsidP="005908FB">
      <w:pPr>
        <w:pStyle w:val="ListParagraph"/>
        <w:numPr>
          <w:ilvl w:val="0"/>
          <w:numId w:val="1"/>
        </w:numPr>
        <w:autoSpaceDE w:val="0"/>
        <w:autoSpaceDN w:val="0"/>
        <w:bidi w:val="0"/>
        <w:adjustRightInd w:val="0"/>
        <w:spacing w:after="0" w:line="240" w:lineRule="auto"/>
        <w:rPr>
          <w:rFonts w:eastAsiaTheme="minorHAnsi" w:cstheme="minorHAnsi"/>
          <w:b/>
          <w:bCs/>
          <w:sz w:val="23"/>
          <w:szCs w:val="23"/>
        </w:rPr>
      </w:pPr>
      <w:r w:rsidRPr="005908FB">
        <w:rPr>
          <w:rFonts w:eastAsiaTheme="minorHAnsi" w:cstheme="minorHAnsi"/>
          <w:b/>
          <w:bCs/>
          <w:sz w:val="23"/>
          <w:szCs w:val="23"/>
        </w:rPr>
        <w:t>Pigs:</w:t>
      </w:r>
    </w:p>
    <w:p w14:paraId="5514A2C8" w14:textId="1C34A7F5" w:rsidR="005908FB" w:rsidRDefault="005908FB" w:rsidP="005908FB">
      <w:pPr>
        <w:autoSpaceDE w:val="0"/>
        <w:autoSpaceDN w:val="0"/>
        <w:adjustRightInd w:val="0"/>
        <w:spacing w:after="0" w:line="240" w:lineRule="auto"/>
        <w:ind w:left="630" w:firstLine="90"/>
        <w:rPr>
          <w:rFonts w:asciiTheme="minorHAnsi" w:eastAsiaTheme="minorHAnsi" w:hAnsiTheme="minorHAnsi" w:cstheme="minorHAnsi"/>
          <w:sz w:val="23"/>
          <w:szCs w:val="23"/>
        </w:rPr>
      </w:pPr>
      <w:r>
        <w:rPr>
          <w:rFonts w:asciiTheme="minorHAnsi" w:eastAsiaTheme="minorHAnsi" w:hAnsiTheme="minorHAnsi" w:cstheme="minorHAnsi"/>
          <w:sz w:val="23"/>
          <w:szCs w:val="23"/>
        </w:rPr>
        <w:t xml:space="preserve">- Treatment of Atrophic rhinitis caused by </w:t>
      </w:r>
      <w:r>
        <w:rPr>
          <w:rFonts w:asciiTheme="minorHAnsi" w:eastAsiaTheme="minorHAnsi" w:hAnsiTheme="minorHAnsi" w:cstheme="minorHAnsi"/>
          <w:i/>
          <w:iCs/>
          <w:sz w:val="23"/>
          <w:szCs w:val="23"/>
        </w:rPr>
        <w:t xml:space="preserve">Pasteurella multocida </w:t>
      </w:r>
      <w:r>
        <w:rPr>
          <w:rFonts w:asciiTheme="minorHAnsi" w:eastAsiaTheme="minorHAnsi" w:hAnsiTheme="minorHAnsi" w:cstheme="minorHAnsi"/>
          <w:sz w:val="23"/>
          <w:szCs w:val="23"/>
        </w:rPr>
        <w:t xml:space="preserve">and </w:t>
      </w:r>
      <w:r>
        <w:rPr>
          <w:rFonts w:asciiTheme="minorHAnsi" w:eastAsiaTheme="minorHAnsi" w:hAnsiTheme="minorHAnsi" w:cstheme="minorHAnsi"/>
          <w:i/>
          <w:iCs/>
          <w:sz w:val="23"/>
          <w:szCs w:val="23"/>
        </w:rPr>
        <w:t>Bordetella  bronchiseptica</w:t>
      </w:r>
      <w:r>
        <w:rPr>
          <w:rFonts w:asciiTheme="minorHAnsi" w:eastAsiaTheme="minorHAnsi" w:hAnsiTheme="minorHAnsi" w:cstheme="minorHAnsi"/>
          <w:sz w:val="23"/>
          <w:szCs w:val="23"/>
        </w:rPr>
        <w:t>;</w:t>
      </w:r>
    </w:p>
    <w:p w14:paraId="13B5C753"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 xml:space="preserve">- Treatment of Bronchopneumonia caused by </w:t>
      </w:r>
      <w:r>
        <w:rPr>
          <w:rFonts w:asciiTheme="minorHAnsi" w:eastAsiaTheme="minorHAnsi" w:hAnsiTheme="minorHAnsi" w:cstheme="minorHAnsi"/>
          <w:i/>
          <w:iCs/>
          <w:sz w:val="23"/>
          <w:szCs w:val="23"/>
        </w:rPr>
        <w:t>Pasteurella multocida</w:t>
      </w:r>
      <w:r>
        <w:rPr>
          <w:rFonts w:asciiTheme="minorHAnsi" w:eastAsiaTheme="minorHAnsi" w:hAnsiTheme="minorHAnsi" w:cstheme="minorHAnsi"/>
          <w:sz w:val="23"/>
          <w:szCs w:val="23"/>
        </w:rPr>
        <w:t xml:space="preserve">, </w:t>
      </w:r>
      <w:r>
        <w:rPr>
          <w:rFonts w:asciiTheme="minorHAnsi" w:eastAsiaTheme="minorHAnsi" w:hAnsiTheme="minorHAnsi" w:cstheme="minorHAnsi"/>
          <w:i/>
          <w:iCs/>
          <w:sz w:val="23"/>
          <w:szCs w:val="23"/>
        </w:rPr>
        <w:t xml:space="preserve">Streptococcus suis </w:t>
      </w:r>
      <w:r>
        <w:rPr>
          <w:rFonts w:asciiTheme="minorHAnsi" w:eastAsiaTheme="minorHAnsi" w:hAnsiTheme="minorHAnsi" w:cstheme="minorHAnsi"/>
          <w:sz w:val="23"/>
          <w:szCs w:val="23"/>
        </w:rPr>
        <w:t xml:space="preserve">and </w:t>
      </w:r>
      <w:r>
        <w:rPr>
          <w:rFonts w:asciiTheme="minorHAnsi" w:eastAsiaTheme="minorHAnsi" w:hAnsiTheme="minorHAnsi" w:cstheme="minorHAnsi"/>
          <w:i/>
          <w:iCs/>
          <w:sz w:val="23"/>
          <w:szCs w:val="23"/>
        </w:rPr>
        <w:t>Mycoplasma hyorhinis</w:t>
      </w:r>
      <w:r>
        <w:rPr>
          <w:rFonts w:asciiTheme="minorHAnsi" w:eastAsiaTheme="minorHAnsi" w:hAnsiTheme="minorHAnsi" w:cstheme="minorHAnsi"/>
          <w:sz w:val="23"/>
          <w:szCs w:val="23"/>
        </w:rPr>
        <w:t>;</w:t>
      </w:r>
    </w:p>
    <w:p w14:paraId="3FAC6783" w14:textId="77777777" w:rsidR="005908FB" w:rsidRDefault="005908FB" w:rsidP="005908FB">
      <w:pPr>
        <w:autoSpaceDE w:val="0"/>
        <w:autoSpaceDN w:val="0"/>
        <w:adjustRightInd w:val="0"/>
        <w:spacing w:after="0" w:line="240" w:lineRule="auto"/>
        <w:ind w:firstLine="567"/>
        <w:rPr>
          <w:rFonts w:asciiTheme="minorHAnsi" w:eastAsiaTheme="minorHAnsi" w:hAnsiTheme="minorHAnsi" w:cstheme="minorHAnsi"/>
          <w:i/>
          <w:iCs/>
          <w:sz w:val="23"/>
          <w:szCs w:val="23"/>
        </w:rPr>
      </w:pPr>
      <w:r>
        <w:rPr>
          <w:rFonts w:asciiTheme="minorHAnsi" w:eastAsiaTheme="minorHAnsi" w:hAnsiTheme="minorHAnsi" w:cstheme="minorHAnsi"/>
          <w:sz w:val="23"/>
          <w:szCs w:val="23"/>
        </w:rPr>
        <w:t xml:space="preserve">- Treatment of Pleuropneumonia caused by </w:t>
      </w:r>
      <w:r>
        <w:rPr>
          <w:rFonts w:asciiTheme="minorHAnsi" w:eastAsiaTheme="minorHAnsi" w:hAnsiTheme="minorHAnsi" w:cstheme="minorHAnsi"/>
          <w:i/>
          <w:iCs/>
          <w:sz w:val="23"/>
          <w:szCs w:val="23"/>
        </w:rPr>
        <w:t>Actinobacillus pleuropneumoniae</w:t>
      </w:r>
      <w:r>
        <w:rPr>
          <w:rFonts w:asciiTheme="minorHAnsi" w:eastAsiaTheme="minorHAnsi" w:hAnsiTheme="minorHAnsi" w:cstheme="minorHAnsi"/>
          <w:sz w:val="23"/>
          <w:szCs w:val="23"/>
        </w:rPr>
        <w:t>.</w:t>
      </w:r>
    </w:p>
    <w:p w14:paraId="540BD472" w14:textId="77777777" w:rsidR="005908FB" w:rsidRDefault="005908FB" w:rsidP="005908FB">
      <w:pPr>
        <w:tabs>
          <w:tab w:val="left" w:pos="2520"/>
        </w:tabs>
        <w:spacing w:after="0" w:line="240" w:lineRule="auto"/>
        <w:ind w:firstLine="585"/>
        <w:rPr>
          <w:rFonts w:asciiTheme="minorHAnsi" w:eastAsia="Calibri" w:hAnsiTheme="minorHAnsi" w:cstheme="minorHAnsi"/>
          <w:b/>
          <w:bCs/>
          <w:sz w:val="23"/>
          <w:szCs w:val="23"/>
          <w:u w:val="single"/>
        </w:rPr>
      </w:pPr>
      <w:r>
        <w:rPr>
          <w:rFonts w:asciiTheme="minorHAnsi" w:eastAsia="Calibri" w:hAnsiTheme="minorHAnsi" w:cstheme="minorHAnsi"/>
          <w:b/>
          <w:bCs/>
          <w:sz w:val="23"/>
          <w:szCs w:val="23"/>
          <w:u w:val="single"/>
        </w:rPr>
        <w:t>Target species:</w:t>
      </w:r>
    </w:p>
    <w:p w14:paraId="64E1FAAB" w14:textId="014E942F" w:rsidR="005908FB" w:rsidRDefault="005908FB" w:rsidP="005908FB">
      <w:pPr>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Broiler chickens, Cattle (pre-ruminant calves), pigs.</w:t>
      </w:r>
    </w:p>
    <w:p w14:paraId="3E9789AB" w14:textId="77777777" w:rsidR="005908FB" w:rsidRDefault="005908FB" w:rsidP="005908FB">
      <w:pPr>
        <w:spacing w:after="0" w:line="240" w:lineRule="auto"/>
        <w:ind w:left="567"/>
        <w:rPr>
          <w:rFonts w:asciiTheme="minorHAnsi" w:eastAsiaTheme="minorHAnsi" w:hAnsiTheme="minorHAnsi" w:cstheme="minorHAnsi"/>
          <w:sz w:val="23"/>
          <w:szCs w:val="23"/>
        </w:rPr>
      </w:pPr>
    </w:p>
    <w:p w14:paraId="0C0561B8" w14:textId="77777777" w:rsidR="005908FB" w:rsidRDefault="005908FB" w:rsidP="005908FB">
      <w:pPr>
        <w:spacing w:after="0" w:line="240" w:lineRule="auto"/>
        <w:ind w:left="567"/>
        <w:rPr>
          <w:rFonts w:asciiTheme="minorHAnsi" w:hAnsiTheme="minorHAnsi" w:cstheme="minorHAnsi"/>
          <w:b/>
          <w:bCs/>
          <w:sz w:val="23"/>
          <w:szCs w:val="23"/>
          <w:u w:val="single"/>
        </w:rPr>
      </w:pPr>
      <w:r>
        <w:rPr>
          <w:rFonts w:asciiTheme="minorHAnsi" w:eastAsia="Calibri" w:hAnsiTheme="minorHAnsi" w:cstheme="minorHAnsi"/>
          <w:b/>
          <w:bCs/>
          <w:sz w:val="23"/>
          <w:szCs w:val="23"/>
          <w:u w:val="single"/>
        </w:rPr>
        <w:t>Dosage and administration:</w:t>
      </w:r>
    </w:p>
    <w:p w14:paraId="45828A70" w14:textId="77777777" w:rsidR="005908FB" w:rsidRDefault="005908FB" w:rsidP="005908FB">
      <w:pPr>
        <w:tabs>
          <w:tab w:val="left" w:pos="680"/>
          <w:tab w:val="right" w:pos="4395"/>
        </w:tabs>
        <w:spacing w:after="0" w:line="160" w:lineRule="atLeast"/>
        <w:ind w:left="567" w:right="2720"/>
        <w:jc w:val="both"/>
        <w:rPr>
          <w:rFonts w:asciiTheme="minorHAnsi" w:hAnsiTheme="minorHAnsi" w:cstheme="minorHAnsi"/>
          <w:sz w:val="23"/>
          <w:szCs w:val="23"/>
        </w:rPr>
      </w:pPr>
      <w:r>
        <w:rPr>
          <w:rFonts w:asciiTheme="minorHAnsi" w:hAnsiTheme="minorHAnsi" w:cstheme="minorHAnsi"/>
          <w:sz w:val="23"/>
          <w:szCs w:val="23"/>
          <w:u w:val="single"/>
        </w:rPr>
        <w:t>Route of Administration</w:t>
      </w:r>
      <w:r>
        <w:rPr>
          <w:rFonts w:asciiTheme="minorHAnsi" w:hAnsiTheme="minorHAnsi" w:cstheme="minorHAnsi"/>
          <w:sz w:val="23"/>
          <w:szCs w:val="23"/>
        </w:rPr>
        <w:t>:  Orally via drinking water.</w:t>
      </w:r>
    </w:p>
    <w:p w14:paraId="3C05C62D" w14:textId="77777777" w:rsidR="005908FB" w:rsidRDefault="005908FB" w:rsidP="005908FB">
      <w:pPr>
        <w:autoSpaceDE w:val="0"/>
        <w:autoSpaceDN w:val="0"/>
        <w:adjustRightInd w:val="0"/>
        <w:spacing w:after="0" w:line="240" w:lineRule="auto"/>
        <w:ind w:firstLine="567"/>
        <w:rPr>
          <w:rFonts w:asciiTheme="minorHAnsi" w:hAnsiTheme="minorHAnsi" w:cstheme="minorHAnsi"/>
          <w:b/>
          <w:bCs/>
          <w:sz w:val="23"/>
          <w:szCs w:val="23"/>
        </w:rPr>
      </w:pPr>
      <w:r>
        <w:rPr>
          <w:rFonts w:asciiTheme="minorHAnsi" w:hAnsiTheme="minorHAnsi" w:cstheme="minorHAnsi"/>
          <w:b/>
          <w:bCs/>
          <w:sz w:val="23"/>
          <w:szCs w:val="23"/>
          <w:u w:val="single"/>
        </w:rPr>
        <w:t>Dose of whole product:</w:t>
      </w:r>
    </w:p>
    <w:p w14:paraId="44907DDF"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b/>
          <w:bCs/>
          <w:sz w:val="23"/>
          <w:szCs w:val="23"/>
        </w:rPr>
        <w:t>Broilers chickens:</w:t>
      </w:r>
      <w:r>
        <w:rPr>
          <w:rFonts w:asciiTheme="minorHAnsi" w:eastAsiaTheme="minorHAnsi" w:hAnsiTheme="minorHAnsi" w:cstheme="minorHAnsi"/>
          <w:sz w:val="23"/>
          <w:szCs w:val="23"/>
        </w:rPr>
        <w:t xml:space="preserve"> </w:t>
      </w:r>
      <w:r>
        <w:rPr>
          <w:rFonts w:asciiTheme="minorHAnsi" w:hAnsiTheme="minorHAnsi" w:cstheme="minorHAnsi"/>
          <w:sz w:val="23"/>
          <w:szCs w:val="23"/>
        </w:rPr>
        <w:t xml:space="preserve">0.5 gm of the product / 1 liter drinking water </w:t>
      </w:r>
      <w:r>
        <w:rPr>
          <w:rFonts w:asciiTheme="minorHAnsi" w:eastAsiaTheme="minorHAnsi" w:hAnsiTheme="minorHAnsi" w:cstheme="minorHAnsi"/>
          <w:sz w:val="23"/>
          <w:szCs w:val="23"/>
        </w:rPr>
        <w:t>daily, for 5 days.</w:t>
      </w:r>
    </w:p>
    <w:p w14:paraId="76399F76"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b/>
          <w:bCs/>
          <w:sz w:val="23"/>
          <w:szCs w:val="23"/>
        </w:rPr>
        <w:t>Cattle (pre-ruminant calves):</w:t>
      </w:r>
      <w:r>
        <w:rPr>
          <w:rFonts w:asciiTheme="minorHAnsi" w:eastAsiaTheme="minorHAnsi" w:hAnsiTheme="minorHAnsi" w:cstheme="minorHAnsi"/>
          <w:sz w:val="23"/>
          <w:szCs w:val="23"/>
        </w:rPr>
        <w:t xml:space="preserve"> </w:t>
      </w:r>
      <w:r>
        <w:rPr>
          <w:rFonts w:asciiTheme="minorHAnsi" w:hAnsiTheme="minorHAnsi" w:cstheme="minorHAnsi"/>
          <w:sz w:val="23"/>
          <w:szCs w:val="23"/>
        </w:rPr>
        <w:t xml:space="preserve">25 mg of the product </w:t>
      </w:r>
      <w:r>
        <w:rPr>
          <w:rFonts w:asciiTheme="minorHAnsi" w:eastAsiaTheme="minorHAnsi" w:hAnsiTheme="minorHAnsi" w:cstheme="minorHAnsi"/>
          <w:sz w:val="23"/>
          <w:szCs w:val="23"/>
        </w:rPr>
        <w:t>/kg bw daily, for 3-5 days.</w:t>
      </w:r>
    </w:p>
    <w:p w14:paraId="1BA76EB3"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b/>
          <w:bCs/>
          <w:sz w:val="23"/>
          <w:szCs w:val="23"/>
        </w:rPr>
        <w:t>Pigs:</w:t>
      </w:r>
      <w:r>
        <w:rPr>
          <w:rFonts w:asciiTheme="minorHAnsi" w:eastAsiaTheme="minorHAnsi" w:hAnsiTheme="minorHAnsi" w:cstheme="minorHAnsi"/>
          <w:sz w:val="23"/>
          <w:szCs w:val="23"/>
        </w:rPr>
        <w:t xml:space="preserve"> </w:t>
      </w:r>
      <w:r>
        <w:rPr>
          <w:rFonts w:asciiTheme="minorHAnsi" w:hAnsiTheme="minorHAnsi" w:cstheme="minorHAnsi"/>
          <w:sz w:val="23"/>
          <w:szCs w:val="23"/>
        </w:rPr>
        <w:t xml:space="preserve">50 mg of the product </w:t>
      </w:r>
      <w:r>
        <w:rPr>
          <w:rFonts w:asciiTheme="minorHAnsi" w:eastAsiaTheme="minorHAnsi" w:hAnsiTheme="minorHAnsi" w:cstheme="minorHAnsi"/>
          <w:sz w:val="23"/>
          <w:szCs w:val="23"/>
        </w:rPr>
        <w:t>/kg bw daily, for 5 days.</w:t>
      </w:r>
    </w:p>
    <w:p w14:paraId="3C7267D0" w14:textId="77777777" w:rsidR="005908FB" w:rsidRDefault="005908FB" w:rsidP="005908FB">
      <w:pPr>
        <w:spacing w:after="0" w:line="240" w:lineRule="auto"/>
        <w:ind w:left="567"/>
        <w:rPr>
          <w:rFonts w:asciiTheme="minorHAnsi" w:eastAsiaTheme="minorHAnsi" w:hAnsiTheme="minorHAnsi" w:cstheme="minorHAnsi"/>
          <w:sz w:val="23"/>
          <w:szCs w:val="23"/>
        </w:rPr>
      </w:pPr>
    </w:p>
    <w:p w14:paraId="19D21CDC" w14:textId="2CA9D560" w:rsidR="005908FB" w:rsidRDefault="005908FB" w:rsidP="005908FB">
      <w:pPr>
        <w:spacing w:after="0" w:line="240" w:lineRule="auto"/>
        <w:ind w:left="567"/>
        <w:rPr>
          <w:rFonts w:asciiTheme="minorHAnsi" w:eastAsiaTheme="minorHAnsi" w:hAnsiTheme="minorHAnsi" w:cstheme="minorHAnsi"/>
          <w:sz w:val="23"/>
          <w:szCs w:val="23"/>
        </w:rPr>
      </w:pPr>
    </w:p>
    <w:p w14:paraId="0A6B9939" w14:textId="5CE1CEE9" w:rsidR="005908FB" w:rsidRDefault="005908FB" w:rsidP="005908FB">
      <w:pPr>
        <w:spacing w:after="0" w:line="240" w:lineRule="auto"/>
        <w:ind w:left="567"/>
        <w:rPr>
          <w:rFonts w:asciiTheme="minorHAnsi" w:eastAsiaTheme="minorHAnsi" w:hAnsiTheme="minorHAnsi" w:cstheme="minorHAnsi"/>
          <w:sz w:val="23"/>
          <w:szCs w:val="23"/>
        </w:rPr>
      </w:pPr>
    </w:p>
    <w:p w14:paraId="5DCBAB1E" w14:textId="69707C02" w:rsidR="005908FB" w:rsidRDefault="005908FB" w:rsidP="005908FB">
      <w:pPr>
        <w:spacing w:after="0" w:line="240" w:lineRule="auto"/>
        <w:ind w:left="567"/>
        <w:rPr>
          <w:rFonts w:asciiTheme="minorHAnsi" w:eastAsiaTheme="minorHAnsi" w:hAnsiTheme="minorHAnsi" w:cstheme="minorHAnsi"/>
          <w:sz w:val="23"/>
          <w:szCs w:val="23"/>
        </w:rPr>
      </w:pPr>
    </w:p>
    <w:p w14:paraId="1B5237F7" w14:textId="3C39AD09" w:rsidR="005908FB" w:rsidRDefault="005908FB" w:rsidP="005908FB">
      <w:pPr>
        <w:spacing w:after="0" w:line="240" w:lineRule="auto"/>
        <w:ind w:left="567"/>
        <w:rPr>
          <w:rFonts w:asciiTheme="minorHAnsi" w:eastAsiaTheme="minorHAnsi" w:hAnsiTheme="minorHAnsi" w:cstheme="minorHAnsi"/>
          <w:sz w:val="23"/>
          <w:szCs w:val="23"/>
        </w:rPr>
      </w:pPr>
    </w:p>
    <w:p w14:paraId="0BB015DA" w14:textId="7D430F07" w:rsidR="005908FB" w:rsidRDefault="005908FB" w:rsidP="005908FB">
      <w:pPr>
        <w:spacing w:after="0" w:line="240" w:lineRule="auto"/>
        <w:ind w:left="567"/>
        <w:rPr>
          <w:rFonts w:asciiTheme="minorHAnsi" w:eastAsiaTheme="minorHAnsi" w:hAnsiTheme="minorHAnsi" w:cstheme="minorHAnsi"/>
          <w:sz w:val="23"/>
          <w:szCs w:val="23"/>
        </w:rPr>
      </w:pPr>
    </w:p>
    <w:p w14:paraId="10A480A6" w14:textId="11E81296" w:rsidR="005908FB" w:rsidRDefault="005908FB" w:rsidP="005908FB">
      <w:pPr>
        <w:spacing w:after="0" w:line="240" w:lineRule="auto"/>
        <w:ind w:left="567"/>
        <w:rPr>
          <w:rFonts w:asciiTheme="minorHAnsi" w:eastAsiaTheme="minorHAnsi" w:hAnsiTheme="minorHAnsi" w:cstheme="minorHAnsi"/>
          <w:sz w:val="23"/>
          <w:szCs w:val="23"/>
        </w:rPr>
      </w:pPr>
    </w:p>
    <w:p w14:paraId="0F1DB367" w14:textId="01781EA9" w:rsidR="005908FB" w:rsidRDefault="005908FB" w:rsidP="005908FB">
      <w:pPr>
        <w:spacing w:after="0" w:line="240" w:lineRule="auto"/>
        <w:ind w:left="567"/>
        <w:rPr>
          <w:rFonts w:asciiTheme="minorHAnsi" w:eastAsiaTheme="minorHAnsi" w:hAnsiTheme="minorHAnsi" w:cstheme="minorHAnsi"/>
          <w:sz w:val="23"/>
          <w:szCs w:val="23"/>
        </w:rPr>
      </w:pPr>
    </w:p>
    <w:p w14:paraId="783CDB42" w14:textId="51B47713" w:rsidR="005908FB" w:rsidRDefault="005908FB" w:rsidP="005908FB">
      <w:pPr>
        <w:spacing w:after="0" w:line="240" w:lineRule="auto"/>
        <w:ind w:left="567"/>
        <w:rPr>
          <w:rFonts w:asciiTheme="minorHAnsi" w:eastAsiaTheme="minorHAnsi" w:hAnsiTheme="minorHAnsi" w:cstheme="minorHAnsi"/>
          <w:sz w:val="23"/>
          <w:szCs w:val="23"/>
        </w:rPr>
      </w:pPr>
    </w:p>
    <w:p w14:paraId="13490246" w14:textId="72E90042" w:rsidR="005908FB" w:rsidRDefault="005908FB" w:rsidP="005908FB">
      <w:pPr>
        <w:spacing w:after="0" w:line="240" w:lineRule="auto"/>
        <w:ind w:left="567"/>
        <w:rPr>
          <w:rFonts w:asciiTheme="minorHAnsi" w:eastAsiaTheme="minorHAnsi" w:hAnsiTheme="minorHAnsi" w:cstheme="minorHAnsi"/>
          <w:sz w:val="23"/>
          <w:szCs w:val="23"/>
        </w:rPr>
      </w:pPr>
    </w:p>
    <w:p w14:paraId="6FBBD318" w14:textId="139E27F2" w:rsidR="005908FB" w:rsidRDefault="005908FB" w:rsidP="005908FB">
      <w:pPr>
        <w:spacing w:after="0" w:line="240" w:lineRule="auto"/>
        <w:ind w:left="567"/>
        <w:rPr>
          <w:rFonts w:asciiTheme="minorHAnsi" w:eastAsiaTheme="minorHAnsi" w:hAnsiTheme="minorHAnsi" w:cstheme="minorHAnsi"/>
          <w:sz w:val="23"/>
          <w:szCs w:val="23"/>
        </w:rPr>
      </w:pPr>
    </w:p>
    <w:p w14:paraId="356F3BDE" w14:textId="07587C08" w:rsidR="005908FB" w:rsidRDefault="005908FB" w:rsidP="005908FB">
      <w:pPr>
        <w:spacing w:after="0" w:line="240" w:lineRule="auto"/>
        <w:ind w:left="567"/>
        <w:rPr>
          <w:rFonts w:asciiTheme="minorHAnsi" w:eastAsiaTheme="minorHAnsi" w:hAnsiTheme="minorHAnsi" w:cstheme="minorHAnsi"/>
          <w:sz w:val="23"/>
          <w:szCs w:val="23"/>
        </w:rPr>
      </w:pPr>
    </w:p>
    <w:p w14:paraId="689B0436" w14:textId="77777777" w:rsidR="005908FB" w:rsidRDefault="005908FB" w:rsidP="005908FB">
      <w:pPr>
        <w:spacing w:after="0" w:line="240" w:lineRule="auto"/>
        <w:ind w:left="567"/>
        <w:rPr>
          <w:rFonts w:asciiTheme="minorHAnsi" w:eastAsia="Calibri" w:hAnsiTheme="minorHAnsi" w:cstheme="minorHAnsi"/>
          <w:sz w:val="23"/>
          <w:szCs w:val="23"/>
        </w:rPr>
      </w:pPr>
    </w:p>
    <w:p w14:paraId="5E7645E3" w14:textId="77777777" w:rsidR="005908FB" w:rsidRDefault="005908FB" w:rsidP="005908FB">
      <w:pPr>
        <w:spacing w:after="0" w:line="160" w:lineRule="atLeast"/>
        <w:ind w:right="28"/>
        <w:rPr>
          <w:rFonts w:asciiTheme="minorHAnsi" w:hAnsiTheme="minorHAnsi" w:cstheme="minorHAnsi"/>
          <w:b/>
          <w:sz w:val="23"/>
          <w:szCs w:val="23"/>
          <w:u w:val="single"/>
        </w:rPr>
      </w:pPr>
    </w:p>
    <w:p w14:paraId="7A63EC9A" w14:textId="77777777" w:rsidR="005908FB" w:rsidRDefault="005908FB" w:rsidP="005908FB">
      <w:pPr>
        <w:spacing w:after="0" w:line="160" w:lineRule="atLeast"/>
        <w:ind w:left="567" w:right="28"/>
        <w:rPr>
          <w:rFonts w:asciiTheme="minorHAnsi" w:hAnsiTheme="minorHAnsi" w:cstheme="minorHAnsi"/>
          <w:b/>
          <w:sz w:val="23"/>
          <w:szCs w:val="23"/>
          <w:u w:val="single"/>
        </w:rPr>
      </w:pPr>
      <w:r>
        <w:rPr>
          <w:rFonts w:asciiTheme="minorHAnsi" w:hAnsiTheme="minorHAnsi" w:cstheme="minorHAnsi"/>
          <w:b/>
          <w:sz w:val="23"/>
          <w:szCs w:val="23"/>
          <w:u w:val="single"/>
        </w:rPr>
        <w:t>Warnings &amp; Precautions:</w:t>
      </w:r>
    </w:p>
    <w:p w14:paraId="6678D9A9"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-This product may cause contact dermatitis and/or hypersensitivity reactions if contact is made with the skin or eyes or if the powder is inhaled.</w:t>
      </w:r>
    </w:p>
    <w:p w14:paraId="45432334" w14:textId="77777777" w:rsidR="005908FB" w:rsidRDefault="005908FB" w:rsidP="005908FB">
      <w:pPr>
        <w:spacing w:after="0" w:line="160" w:lineRule="atLeast"/>
        <w:ind w:left="567" w:right="28"/>
        <w:rPr>
          <w:rFonts w:asciiTheme="minorHAnsi" w:hAnsiTheme="minorHAnsi" w:cstheme="minorHAnsi"/>
          <w:b/>
          <w:sz w:val="23"/>
          <w:szCs w:val="23"/>
          <w:u w:val="single"/>
        </w:rPr>
      </w:pPr>
      <w:r>
        <w:rPr>
          <w:rFonts w:asciiTheme="minorHAnsi" w:eastAsiaTheme="minorHAnsi" w:hAnsiTheme="minorHAnsi" w:cstheme="minorHAnsi"/>
          <w:sz w:val="23"/>
          <w:szCs w:val="23"/>
        </w:rPr>
        <w:t>-People with known hypersensitivity to tetracyclines or bromhexine should not handle the product</w:t>
      </w:r>
    </w:p>
    <w:p w14:paraId="3BAA5091" w14:textId="77777777" w:rsidR="005908FB" w:rsidRDefault="005908FB" w:rsidP="005908FB">
      <w:pPr>
        <w:spacing w:after="0" w:line="240" w:lineRule="auto"/>
        <w:ind w:firstLine="567"/>
        <w:rPr>
          <w:rFonts w:asciiTheme="minorHAnsi" w:hAnsiTheme="minorHAnsi" w:cstheme="minorHAnsi"/>
          <w:sz w:val="23"/>
          <w:szCs w:val="23"/>
        </w:rPr>
      </w:pPr>
      <w:r>
        <w:rPr>
          <w:rFonts w:asciiTheme="minorHAnsi" w:hAnsiTheme="minorHAnsi" w:cstheme="minorHAnsi"/>
          <w:sz w:val="23"/>
          <w:szCs w:val="23"/>
        </w:rPr>
        <w:t xml:space="preserve">-Wear impervious gloves and </w:t>
      </w:r>
      <w:r>
        <w:rPr>
          <w:rFonts w:asciiTheme="minorHAnsi" w:eastAsiaTheme="minorHAnsi" w:hAnsiTheme="minorHAnsi" w:cstheme="minorHAnsi"/>
          <w:sz w:val="23"/>
          <w:szCs w:val="23"/>
        </w:rPr>
        <w:t>dust mask when applying the product.</w:t>
      </w:r>
    </w:p>
    <w:p w14:paraId="0FE199E1" w14:textId="77777777" w:rsidR="005908FB" w:rsidRDefault="005908FB" w:rsidP="005908FB">
      <w:pPr>
        <w:spacing w:before="11" w:after="0" w:line="160" w:lineRule="atLeast"/>
        <w:ind w:left="567"/>
        <w:rPr>
          <w:rFonts w:asciiTheme="minorHAnsi" w:hAnsiTheme="minorHAnsi" w:cstheme="minorHAnsi"/>
          <w:sz w:val="23"/>
          <w:szCs w:val="23"/>
        </w:rPr>
      </w:pPr>
      <w:r>
        <w:rPr>
          <w:rFonts w:asciiTheme="minorHAnsi" w:eastAsiaTheme="minorHAnsi" w:hAnsiTheme="minorHAnsi" w:cstheme="minorHAnsi"/>
          <w:sz w:val="23"/>
          <w:szCs w:val="23"/>
        </w:rPr>
        <w:t>-Do not smoke, eat or drink while handling the product</w:t>
      </w:r>
      <w:r>
        <w:rPr>
          <w:rFonts w:asciiTheme="minorHAnsi" w:hAnsiTheme="minorHAnsi" w:cstheme="minorHAnsi"/>
          <w:sz w:val="23"/>
          <w:szCs w:val="23"/>
        </w:rPr>
        <w:t>.</w:t>
      </w:r>
    </w:p>
    <w:p w14:paraId="5CD8FFFD"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-Wash hands and contaminated skin immediately after handling the product.</w:t>
      </w:r>
    </w:p>
    <w:p w14:paraId="0BE1700B"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p>
    <w:p w14:paraId="62941562" w14:textId="77777777" w:rsidR="005908FB" w:rsidRDefault="005908FB" w:rsidP="005908FB">
      <w:pPr>
        <w:tabs>
          <w:tab w:val="left" w:pos="1280"/>
          <w:tab w:val="right" w:pos="3976"/>
        </w:tabs>
        <w:spacing w:after="0" w:line="160" w:lineRule="atLeast"/>
        <w:ind w:right="6824" w:firstLine="567"/>
        <w:jc w:val="both"/>
        <w:rPr>
          <w:rFonts w:asciiTheme="minorHAnsi" w:hAnsiTheme="minorHAnsi" w:cstheme="minorHAnsi"/>
          <w:sz w:val="23"/>
          <w:szCs w:val="23"/>
          <w:u w:val="single"/>
        </w:rPr>
      </w:pPr>
      <w:r>
        <w:rPr>
          <w:rFonts w:asciiTheme="minorHAnsi" w:hAnsiTheme="minorHAnsi" w:cstheme="minorHAnsi"/>
          <w:b/>
          <w:sz w:val="23"/>
          <w:szCs w:val="23"/>
          <w:u w:val="single"/>
        </w:rPr>
        <w:t>Contraindications</w:t>
      </w:r>
      <w:r>
        <w:rPr>
          <w:rFonts w:asciiTheme="minorHAnsi" w:hAnsiTheme="minorHAnsi" w:cstheme="minorHAnsi"/>
          <w:sz w:val="23"/>
          <w:szCs w:val="23"/>
          <w:u w:val="single"/>
        </w:rPr>
        <w:t>:</w:t>
      </w:r>
    </w:p>
    <w:p w14:paraId="66054410"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-Do not use in cases of known hypersensitivity to tetracyclines or bromhexine or to any of the excipients.</w:t>
      </w:r>
    </w:p>
    <w:p w14:paraId="7311167E" w14:textId="77777777" w:rsidR="005908FB" w:rsidRDefault="005908FB" w:rsidP="005908FB">
      <w:pPr>
        <w:tabs>
          <w:tab w:val="left" w:pos="1280"/>
        </w:tabs>
        <w:spacing w:after="0" w:line="160" w:lineRule="atLeast"/>
        <w:ind w:left="567" w:right="2160"/>
        <w:jc w:val="both"/>
        <w:rPr>
          <w:rFonts w:asciiTheme="minorHAnsi" w:hAnsiTheme="minorHAnsi" w:cstheme="minorHAnsi"/>
          <w:sz w:val="23"/>
          <w:szCs w:val="23"/>
        </w:rPr>
      </w:pPr>
      <w:r>
        <w:rPr>
          <w:rFonts w:asciiTheme="minorHAnsi" w:eastAsiaTheme="minorHAnsi" w:hAnsiTheme="minorHAnsi" w:cstheme="minorHAnsi"/>
          <w:sz w:val="23"/>
          <w:szCs w:val="23"/>
        </w:rPr>
        <w:t>-Do not administer to animals with severe liver- or kidney insufficiency.</w:t>
      </w:r>
    </w:p>
    <w:p w14:paraId="7198C333" w14:textId="77777777" w:rsidR="005908FB" w:rsidRDefault="005908FB" w:rsidP="005908FB">
      <w:pPr>
        <w:tabs>
          <w:tab w:val="left" w:pos="1280"/>
        </w:tabs>
        <w:spacing w:after="0" w:line="160" w:lineRule="atLeast"/>
        <w:ind w:left="567" w:right="2160"/>
        <w:jc w:val="both"/>
        <w:rPr>
          <w:rFonts w:asciiTheme="minorHAnsi" w:hAnsiTheme="minorHAnsi" w:cstheme="minorHAnsi"/>
          <w:sz w:val="23"/>
          <w:szCs w:val="23"/>
        </w:rPr>
      </w:pPr>
      <w:r>
        <w:rPr>
          <w:rFonts w:asciiTheme="minorHAnsi" w:eastAsiaTheme="minorHAnsi" w:hAnsiTheme="minorHAnsi" w:cstheme="minorHAnsi"/>
          <w:sz w:val="23"/>
          <w:szCs w:val="23"/>
        </w:rPr>
        <w:t>-Do not use in conjunction with bactericidal antibiotics, such as penicillins and cephalosporins.</w:t>
      </w:r>
    </w:p>
    <w:p w14:paraId="0C857D3B" w14:textId="77777777" w:rsidR="005908FB" w:rsidRDefault="005908FB" w:rsidP="005908FB">
      <w:pPr>
        <w:spacing w:after="0" w:line="240" w:lineRule="auto"/>
        <w:ind w:left="567"/>
        <w:rPr>
          <w:rFonts w:asciiTheme="minorHAnsi" w:hAnsiTheme="minorHAnsi" w:cstheme="minorHAnsi"/>
          <w:sz w:val="23"/>
          <w:szCs w:val="23"/>
        </w:rPr>
      </w:pPr>
      <w:r>
        <w:rPr>
          <w:rFonts w:asciiTheme="minorHAnsi" w:eastAsiaTheme="minorHAnsi" w:hAnsiTheme="minorHAnsi" w:cstheme="minorHAnsi"/>
          <w:sz w:val="23"/>
          <w:szCs w:val="23"/>
        </w:rPr>
        <w:t>-Not authorised for use in laying birds producing eggs for human consumption</w:t>
      </w:r>
      <w:r>
        <w:rPr>
          <w:rFonts w:asciiTheme="minorHAnsi" w:hAnsiTheme="minorHAnsi" w:cstheme="minorHAnsi"/>
          <w:sz w:val="23"/>
          <w:szCs w:val="23"/>
        </w:rPr>
        <w:t>.</w:t>
      </w:r>
    </w:p>
    <w:p w14:paraId="78220417" w14:textId="77777777" w:rsidR="005908FB" w:rsidRDefault="005908FB" w:rsidP="005908FB">
      <w:pPr>
        <w:spacing w:after="0" w:line="240" w:lineRule="auto"/>
        <w:ind w:left="567"/>
        <w:rPr>
          <w:rFonts w:asciiTheme="minorHAnsi" w:hAnsiTheme="minorHAnsi" w:cstheme="minorHAnsi"/>
          <w:sz w:val="23"/>
          <w:szCs w:val="23"/>
        </w:rPr>
      </w:pPr>
      <w:r>
        <w:rPr>
          <w:rFonts w:asciiTheme="minorHAnsi" w:eastAsiaTheme="minorHAnsi" w:hAnsiTheme="minorHAnsi" w:cstheme="minorHAnsi"/>
          <w:sz w:val="23"/>
          <w:szCs w:val="23"/>
        </w:rPr>
        <w:t>-Not authorised for use in animals producing milk for human consumption</w:t>
      </w:r>
      <w:r>
        <w:rPr>
          <w:rFonts w:asciiTheme="minorHAnsi" w:hAnsiTheme="minorHAnsi" w:cstheme="minorHAnsi"/>
          <w:sz w:val="23"/>
          <w:szCs w:val="23"/>
        </w:rPr>
        <w:t>.</w:t>
      </w:r>
    </w:p>
    <w:p w14:paraId="4C03E762" w14:textId="77777777" w:rsidR="005908FB" w:rsidRDefault="005908FB" w:rsidP="005908FB">
      <w:pPr>
        <w:spacing w:after="0" w:line="240" w:lineRule="auto"/>
        <w:ind w:firstLine="567"/>
        <w:rPr>
          <w:rFonts w:asciiTheme="minorHAnsi" w:eastAsiaTheme="minorHAnsi" w:hAnsiTheme="minorHAnsi" w:cstheme="minorHAnsi"/>
          <w:sz w:val="23"/>
          <w:szCs w:val="23"/>
        </w:rPr>
      </w:pPr>
      <w:r>
        <w:rPr>
          <w:rFonts w:asciiTheme="minorHAnsi" w:eastAsiaTheme="minorHAnsi" w:hAnsiTheme="minorHAnsi" w:cstheme="minorHAnsi"/>
          <w:sz w:val="23"/>
          <w:szCs w:val="23"/>
        </w:rPr>
        <w:t>-Do not use in cases of pulmonary oedema.</w:t>
      </w:r>
    </w:p>
    <w:p w14:paraId="4CD06C59" w14:textId="77777777" w:rsidR="005908FB" w:rsidRDefault="005908FB" w:rsidP="005908FB">
      <w:pPr>
        <w:tabs>
          <w:tab w:val="left" w:pos="680"/>
          <w:tab w:val="right" w:pos="5670"/>
          <w:tab w:val="right" w:pos="6521"/>
        </w:tabs>
        <w:spacing w:after="0" w:line="160" w:lineRule="atLeast"/>
        <w:ind w:left="567" w:right="-24"/>
        <w:jc w:val="both"/>
        <w:rPr>
          <w:rFonts w:asciiTheme="minorHAnsi" w:eastAsiaTheme="minorHAnsi" w:hAnsiTheme="minorHAnsi" w:cstheme="minorHAnsi"/>
          <w:sz w:val="23"/>
          <w:szCs w:val="23"/>
        </w:rPr>
      </w:pPr>
      <w:r>
        <w:rPr>
          <w:rFonts w:asciiTheme="minorHAnsi" w:eastAsiaTheme="minorHAnsi" w:hAnsiTheme="minorHAnsi" w:cstheme="minorHAnsi"/>
          <w:sz w:val="23"/>
          <w:szCs w:val="23"/>
        </w:rPr>
        <w:t>-In case of serious lungworm infection, the drug should only be used 3 days after the commencement of the anthelmintic treatment.</w:t>
      </w:r>
    </w:p>
    <w:p w14:paraId="72D972B0" w14:textId="77777777" w:rsidR="005908FB" w:rsidRDefault="005908FB" w:rsidP="005908FB">
      <w:pPr>
        <w:tabs>
          <w:tab w:val="left" w:pos="680"/>
          <w:tab w:val="right" w:pos="5670"/>
          <w:tab w:val="right" w:pos="6521"/>
        </w:tabs>
        <w:spacing w:after="0" w:line="160" w:lineRule="atLeast"/>
        <w:ind w:left="567" w:right="-24"/>
        <w:jc w:val="both"/>
        <w:rPr>
          <w:rFonts w:asciiTheme="minorHAnsi" w:eastAsiaTheme="minorHAnsi" w:hAnsiTheme="minorHAnsi" w:cstheme="minorHAnsi"/>
          <w:sz w:val="23"/>
          <w:szCs w:val="23"/>
        </w:rPr>
      </w:pPr>
    </w:p>
    <w:p w14:paraId="1B11BA68" w14:textId="77777777" w:rsidR="005908FB" w:rsidRDefault="005908FB" w:rsidP="005908FB">
      <w:pPr>
        <w:tabs>
          <w:tab w:val="left" w:pos="680"/>
          <w:tab w:val="right" w:pos="6521"/>
        </w:tabs>
        <w:spacing w:after="0" w:line="160" w:lineRule="atLeast"/>
        <w:ind w:left="567" w:right="5221"/>
        <w:jc w:val="both"/>
        <w:rPr>
          <w:rFonts w:asciiTheme="minorHAnsi" w:hAnsiTheme="minorHAnsi" w:cstheme="minorHAnsi"/>
          <w:sz w:val="23"/>
          <w:szCs w:val="23"/>
          <w:u w:val="single"/>
        </w:rPr>
      </w:pPr>
      <w:r>
        <w:rPr>
          <w:rFonts w:asciiTheme="minorHAnsi" w:hAnsiTheme="minorHAnsi" w:cstheme="minorHAnsi"/>
          <w:b/>
          <w:sz w:val="23"/>
          <w:szCs w:val="23"/>
          <w:u w:val="single"/>
        </w:rPr>
        <w:t>Adverse reactions</w:t>
      </w:r>
      <w:r>
        <w:rPr>
          <w:rFonts w:asciiTheme="minorHAnsi" w:hAnsiTheme="minorHAnsi" w:cstheme="minorHAnsi"/>
          <w:sz w:val="23"/>
          <w:szCs w:val="23"/>
          <w:u w:val="single"/>
        </w:rPr>
        <w:t>:</w:t>
      </w:r>
    </w:p>
    <w:p w14:paraId="1228F3FD"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As for all tetracyclines, on rare occasions allergic reactions and photosensitivity may occur. If suspected adverse reactions occur, treatment should be discontinued.</w:t>
      </w:r>
    </w:p>
    <w:p w14:paraId="4824D9F8"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p>
    <w:p w14:paraId="48CAED9D" w14:textId="77777777" w:rsidR="005908FB" w:rsidRDefault="005908FB" w:rsidP="005908FB">
      <w:pPr>
        <w:spacing w:after="0" w:line="160" w:lineRule="atLeast"/>
        <w:ind w:left="567" w:right="27"/>
        <w:jc w:val="both"/>
        <w:rPr>
          <w:rFonts w:asciiTheme="minorHAnsi" w:hAnsiTheme="minorHAnsi" w:cstheme="minorHAnsi"/>
          <w:sz w:val="23"/>
          <w:szCs w:val="23"/>
          <w:u w:val="single"/>
        </w:rPr>
      </w:pPr>
      <w:r>
        <w:rPr>
          <w:rFonts w:asciiTheme="minorHAnsi" w:hAnsiTheme="minorHAnsi" w:cstheme="minorHAnsi"/>
          <w:b/>
          <w:sz w:val="23"/>
          <w:szCs w:val="23"/>
          <w:u w:val="single"/>
        </w:rPr>
        <w:t>Withdrawal time</w:t>
      </w:r>
      <w:r>
        <w:rPr>
          <w:rFonts w:asciiTheme="minorHAnsi" w:hAnsiTheme="minorHAnsi" w:cstheme="minorHAnsi"/>
          <w:sz w:val="23"/>
          <w:szCs w:val="23"/>
          <w:u w:val="single"/>
        </w:rPr>
        <w:t>:</w:t>
      </w:r>
    </w:p>
    <w:p w14:paraId="2C0A76CE"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Meat and offal:</w:t>
      </w:r>
    </w:p>
    <w:p w14:paraId="287C7D5A" w14:textId="77777777" w:rsidR="005908FB" w:rsidRDefault="005908FB" w:rsidP="005908FB">
      <w:pPr>
        <w:autoSpaceDE w:val="0"/>
        <w:autoSpaceDN w:val="0"/>
        <w:adjustRightInd w:val="0"/>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Broiler chickens: 10 days</w:t>
      </w:r>
    </w:p>
    <w:p w14:paraId="4AE1A83B" w14:textId="77777777" w:rsidR="005908FB" w:rsidRDefault="005908FB" w:rsidP="005908FB">
      <w:pPr>
        <w:autoSpaceDE w:val="0"/>
        <w:autoSpaceDN w:val="0"/>
        <w:adjustRightInd w:val="0"/>
        <w:spacing w:after="0" w:line="240" w:lineRule="auto"/>
        <w:ind w:firstLine="567"/>
        <w:rPr>
          <w:rFonts w:asciiTheme="minorHAnsi" w:eastAsiaTheme="minorHAnsi" w:hAnsiTheme="minorHAnsi" w:cstheme="minorHAnsi"/>
          <w:sz w:val="23"/>
          <w:szCs w:val="23"/>
        </w:rPr>
      </w:pPr>
      <w:r>
        <w:rPr>
          <w:rFonts w:asciiTheme="minorHAnsi" w:eastAsiaTheme="minorHAnsi" w:hAnsiTheme="minorHAnsi" w:cstheme="minorHAnsi"/>
          <w:sz w:val="23"/>
          <w:szCs w:val="23"/>
        </w:rPr>
        <w:t>Calves: 16 days</w:t>
      </w:r>
    </w:p>
    <w:p w14:paraId="4DFFC4A9" w14:textId="77777777" w:rsidR="005908FB" w:rsidRDefault="005908FB" w:rsidP="005908FB">
      <w:pPr>
        <w:autoSpaceDE w:val="0"/>
        <w:autoSpaceDN w:val="0"/>
        <w:adjustRightInd w:val="0"/>
        <w:spacing w:after="0" w:line="240" w:lineRule="auto"/>
        <w:ind w:firstLine="567"/>
        <w:rPr>
          <w:rFonts w:asciiTheme="minorHAnsi" w:eastAsiaTheme="minorHAnsi" w:hAnsiTheme="minorHAnsi" w:cstheme="minorHAnsi"/>
          <w:sz w:val="23"/>
          <w:szCs w:val="23"/>
        </w:rPr>
      </w:pPr>
      <w:r>
        <w:rPr>
          <w:rFonts w:asciiTheme="minorHAnsi" w:eastAsiaTheme="minorHAnsi" w:hAnsiTheme="minorHAnsi" w:cstheme="minorHAnsi"/>
          <w:sz w:val="23"/>
          <w:szCs w:val="23"/>
        </w:rPr>
        <w:t>Pigs: 8 days</w:t>
      </w:r>
    </w:p>
    <w:p w14:paraId="68287071" w14:textId="77777777" w:rsidR="005908FB" w:rsidRDefault="005908FB" w:rsidP="005908FB">
      <w:pPr>
        <w:spacing w:after="0" w:line="240" w:lineRule="auto"/>
        <w:ind w:left="567"/>
        <w:rPr>
          <w:rFonts w:asciiTheme="minorHAnsi" w:hAnsiTheme="minorHAnsi" w:cstheme="minorHAnsi"/>
          <w:sz w:val="23"/>
          <w:szCs w:val="23"/>
        </w:rPr>
      </w:pPr>
      <w:r>
        <w:rPr>
          <w:rFonts w:asciiTheme="minorHAnsi" w:eastAsiaTheme="minorHAnsi" w:hAnsiTheme="minorHAnsi" w:cstheme="minorHAnsi"/>
          <w:sz w:val="23"/>
          <w:szCs w:val="23"/>
        </w:rPr>
        <w:t>-Not authorised for use in laying birds producing eggs for human consumption</w:t>
      </w:r>
    </w:p>
    <w:p w14:paraId="726E9236" w14:textId="5689409C" w:rsidR="005908FB" w:rsidRDefault="005908FB" w:rsidP="005908FB">
      <w:pPr>
        <w:spacing w:after="0" w:line="240" w:lineRule="auto"/>
        <w:ind w:left="567"/>
        <w:rPr>
          <w:rFonts w:asciiTheme="minorHAnsi" w:hAnsiTheme="minorHAnsi" w:cstheme="minorHAnsi"/>
          <w:sz w:val="23"/>
          <w:szCs w:val="23"/>
        </w:rPr>
      </w:pPr>
      <w:r>
        <w:rPr>
          <w:rFonts w:asciiTheme="minorHAnsi" w:eastAsiaTheme="minorHAnsi" w:hAnsiTheme="minorHAnsi" w:cstheme="minorHAnsi"/>
          <w:sz w:val="23"/>
          <w:szCs w:val="23"/>
        </w:rPr>
        <w:t>-Not authorised for use in animals producing milk for human consumption</w:t>
      </w:r>
      <w:r>
        <w:rPr>
          <w:rFonts w:asciiTheme="minorHAnsi" w:hAnsiTheme="minorHAnsi" w:cstheme="minorHAnsi"/>
          <w:sz w:val="23"/>
          <w:szCs w:val="23"/>
        </w:rPr>
        <w:t>.</w:t>
      </w:r>
    </w:p>
    <w:p w14:paraId="6A807DA8" w14:textId="5E617FD4" w:rsidR="005908FB" w:rsidRDefault="005908FB" w:rsidP="005908FB">
      <w:pPr>
        <w:spacing w:after="0" w:line="240" w:lineRule="auto"/>
        <w:ind w:left="567"/>
        <w:rPr>
          <w:rFonts w:asciiTheme="minorHAnsi" w:hAnsiTheme="minorHAnsi" w:cstheme="minorHAnsi"/>
          <w:sz w:val="23"/>
          <w:szCs w:val="23"/>
        </w:rPr>
      </w:pPr>
    </w:p>
    <w:p w14:paraId="5D71D423" w14:textId="72E420AC" w:rsidR="005908FB" w:rsidRDefault="005908FB" w:rsidP="005908FB">
      <w:pPr>
        <w:spacing w:after="0" w:line="240" w:lineRule="auto"/>
        <w:ind w:left="567"/>
        <w:rPr>
          <w:rFonts w:asciiTheme="minorHAnsi" w:hAnsiTheme="minorHAnsi" w:cstheme="minorHAnsi"/>
          <w:sz w:val="23"/>
          <w:szCs w:val="23"/>
        </w:rPr>
      </w:pPr>
    </w:p>
    <w:p w14:paraId="34C65E25" w14:textId="5318D637" w:rsidR="005908FB" w:rsidRDefault="005908FB" w:rsidP="005908FB">
      <w:pPr>
        <w:spacing w:after="0" w:line="240" w:lineRule="auto"/>
        <w:ind w:left="567"/>
        <w:rPr>
          <w:rFonts w:asciiTheme="minorHAnsi" w:hAnsiTheme="minorHAnsi" w:cstheme="minorHAnsi"/>
          <w:sz w:val="23"/>
          <w:szCs w:val="23"/>
        </w:rPr>
      </w:pPr>
    </w:p>
    <w:p w14:paraId="7ADEE374" w14:textId="53C8D36C" w:rsidR="00AE678D" w:rsidRDefault="00AE678D" w:rsidP="005908FB">
      <w:pPr>
        <w:spacing w:after="0" w:line="240" w:lineRule="auto"/>
        <w:ind w:left="567"/>
        <w:rPr>
          <w:rFonts w:asciiTheme="minorHAnsi" w:hAnsiTheme="minorHAnsi" w:cstheme="minorHAnsi"/>
          <w:sz w:val="23"/>
          <w:szCs w:val="23"/>
        </w:rPr>
      </w:pPr>
    </w:p>
    <w:p w14:paraId="5A63C0DB" w14:textId="77777777" w:rsidR="00AE678D" w:rsidRDefault="00AE678D" w:rsidP="005908FB">
      <w:pPr>
        <w:spacing w:after="0" w:line="240" w:lineRule="auto"/>
        <w:ind w:left="567"/>
        <w:rPr>
          <w:rFonts w:asciiTheme="minorHAnsi" w:hAnsiTheme="minorHAnsi" w:cstheme="minorHAnsi"/>
          <w:sz w:val="23"/>
          <w:szCs w:val="23"/>
        </w:rPr>
      </w:pPr>
    </w:p>
    <w:p w14:paraId="3162D566" w14:textId="77777777" w:rsidR="005908FB" w:rsidRDefault="005908FB" w:rsidP="005908FB">
      <w:pPr>
        <w:spacing w:after="0" w:line="240" w:lineRule="auto"/>
        <w:ind w:left="567"/>
        <w:rPr>
          <w:rFonts w:asciiTheme="minorHAnsi" w:hAnsiTheme="minorHAnsi" w:cstheme="minorHAnsi"/>
          <w:sz w:val="23"/>
          <w:szCs w:val="23"/>
        </w:rPr>
      </w:pPr>
    </w:p>
    <w:p w14:paraId="16EC28CA" w14:textId="77777777" w:rsidR="005908FB" w:rsidRDefault="005908FB" w:rsidP="005908FB">
      <w:pPr>
        <w:spacing w:after="0" w:line="240" w:lineRule="auto"/>
        <w:ind w:left="567"/>
        <w:rPr>
          <w:rFonts w:asciiTheme="minorHAnsi" w:hAnsiTheme="minorHAnsi" w:cstheme="minorHAnsi"/>
          <w:sz w:val="23"/>
          <w:szCs w:val="23"/>
        </w:rPr>
      </w:pPr>
    </w:p>
    <w:p w14:paraId="7CE59AEE" w14:textId="77777777" w:rsidR="005908FB" w:rsidRDefault="005908FB" w:rsidP="005908FB">
      <w:pPr>
        <w:tabs>
          <w:tab w:val="left" w:pos="680"/>
        </w:tabs>
        <w:spacing w:after="0" w:line="160" w:lineRule="atLeast"/>
        <w:ind w:left="567" w:right="5484"/>
        <w:jc w:val="both"/>
        <w:rPr>
          <w:rFonts w:asciiTheme="minorHAnsi" w:hAnsiTheme="minorHAnsi" w:cstheme="minorHAnsi"/>
          <w:b/>
          <w:sz w:val="23"/>
          <w:szCs w:val="23"/>
          <w:u w:val="single"/>
        </w:rPr>
      </w:pPr>
      <w:r>
        <w:rPr>
          <w:rFonts w:asciiTheme="minorHAnsi" w:hAnsiTheme="minorHAnsi" w:cstheme="minorHAnsi"/>
          <w:b/>
          <w:sz w:val="23"/>
          <w:szCs w:val="23"/>
          <w:u w:val="single"/>
        </w:rPr>
        <w:t>Storage conditions:</w:t>
      </w:r>
    </w:p>
    <w:p w14:paraId="0F759C97" w14:textId="77777777" w:rsidR="005908FB" w:rsidRDefault="005908FB" w:rsidP="005908FB">
      <w:pPr>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Store at temperature not exceeding 30 ⁰C in a dry place. Used immediately after opening and reconstitution.</w:t>
      </w:r>
    </w:p>
    <w:p w14:paraId="2E0517B6" w14:textId="77777777" w:rsidR="005908FB" w:rsidRDefault="005908FB" w:rsidP="005908FB">
      <w:pPr>
        <w:spacing w:after="0" w:line="240" w:lineRule="auto"/>
        <w:ind w:left="567"/>
        <w:rPr>
          <w:rFonts w:asciiTheme="minorHAnsi" w:hAnsiTheme="minorHAnsi" w:cstheme="minorHAnsi"/>
          <w:sz w:val="23"/>
          <w:szCs w:val="23"/>
        </w:rPr>
      </w:pPr>
    </w:p>
    <w:p w14:paraId="146B6634" w14:textId="77777777" w:rsidR="005908FB" w:rsidRDefault="005908FB" w:rsidP="005908FB">
      <w:pPr>
        <w:tabs>
          <w:tab w:val="left" w:pos="680"/>
        </w:tabs>
        <w:spacing w:after="0" w:line="160" w:lineRule="atLeast"/>
        <w:ind w:left="567" w:right="5043"/>
        <w:jc w:val="both"/>
        <w:rPr>
          <w:rFonts w:asciiTheme="minorHAnsi" w:hAnsiTheme="minorHAnsi" w:cstheme="minorHAnsi"/>
          <w:b/>
          <w:sz w:val="23"/>
          <w:szCs w:val="23"/>
          <w:u w:val="single"/>
        </w:rPr>
      </w:pPr>
      <w:r>
        <w:rPr>
          <w:rFonts w:asciiTheme="minorHAnsi" w:hAnsiTheme="minorHAnsi" w:cstheme="minorHAnsi"/>
          <w:b/>
          <w:sz w:val="23"/>
          <w:szCs w:val="23"/>
          <w:u w:val="single"/>
        </w:rPr>
        <w:t>Pack:</w:t>
      </w:r>
    </w:p>
    <w:p w14:paraId="773C9E7F" w14:textId="77777777" w:rsidR="005908FB" w:rsidRDefault="005908FB" w:rsidP="005908FB">
      <w:pPr>
        <w:spacing w:after="0" w:line="240" w:lineRule="auto"/>
        <w:ind w:left="567"/>
        <w:rPr>
          <w:rFonts w:asciiTheme="minorHAnsi" w:eastAsiaTheme="minorHAnsi" w:hAnsiTheme="minorHAnsi" w:cstheme="minorHAnsi"/>
          <w:sz w:val="23"/>
          <w:szCs w:val="23"/>
        </w:rPr>
      </w:pPr>
      <w:r>
        <w:rPr>
          <w:rFonts w:asciiTheme="minorHAnsi" w:eastAsiaTheme="minorHAnsi" w:hAnsiTheme="minorHAnsi" w:cstheme="minorHAnsi"/>
          <w:sz w:val="23"/>
          <w:szCs w:val="23"/>
        </w:rPr>
        <w:t>Transparent plastic LDPE bag containing 20, 25, 30, 50, 75, 100, 150, 200, 250, 300, 500, 750, 1000 gm powder in HDPE plastic jar with HDPE cap with outer label and insert leaflet.</w:t>
      </w:r>
    </w:p>
    <w:p w14:paraId="6B996485" w14:textId="77777777" w:rsidR="005908FB" w:rsidRDefault="005908FB" w:rsidP="005908FB">
      <w:pPr>
        <w:spacing w:after="0" w:line="240" w:lineRule="auto"/>
        <w:ind w:left="567"/>
        <w:jc w:val="center"/>
        <w:rPr>
          <w:rFonts w:asciiTheme="minorHAnsi" w:eastAsiaTheme="minorHAnsi" w:hAnsiTheme="minorHAnsi" w:cstheme="minorHAnsi"/>
          <w:sz w:val="23"/>
          <w:szCs w:val="23"/>
        </w:rPr>
      </w:pPr>
    </w:p>
    <w:p w14:paraId="76B24237" w14:textId="77777777" w:rsidR="005908FB" w:rsidRDefault="005908FB" w:rsidP="005908FB">
      <w:pPr>
        <w:spacing w:after="0" w:line="240" w:lineRule="auto"/>
        <w:ind w:left="567"/>
        <w:jc w:val="center"/>
        <w:rPr>
          <w:rFonts w:asciiTheme="minorHAnsi" w:eastAsiaTheme="minorHAnsi" w:hAnsiTheme="minorHAnsi" w:cstheme="minorHAnsi"/>
          <w:b/>
          <w:bCs/>
          <w:sz w:val="23"/>
          <w:szCs w:val="23"/>
        </w:rPr>
      </w:pPr>
      <w:r>
        <w:rPr>
          <w:rFonts w:asciiTheme="minorHAnsi" w:eastAsiaTheme="minorHAnsi" w:hAnsiTheme="minorHAnsi" w:cstheme="minorHAnsi"/>
          <w:b/>
          <w:bCs/>
          <w:sz w:val="23"/>
          <w:szCs w:val="23"/>
        </w:rPr>
        <w:t>Manufactured by Eva Pharma For Pharmaceuticals and medical appliances (Eva Pharma)</w:t>
      </w:r>
    </w:p>
    <w:p w14:paraId="665AFD8D" w14:textId="77777777" w:rsidR="001E4227" w:rsidRDefault="00AE678D"/>
    <w:sectPr w:rsidR="001E42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020CA"/>
    <w:multiLevelType w:val="hybridMultilevel"/>
    <w:tmpl w:val="1A36026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770847FA"/>
    <w:multiLevelType w:val="hybridMultilevel"/>
    <w:tmpl w:val="16F071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19F"/>
    <w:rsid w:val="00026B5D"/>
    <w:rsid w:val="0017478A"/>
    <w:rsid w:val="005908FB"/>
    <w:rsid w:val="00AE678D"/>
    <w:rsid w:val="00BD51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2FCAF"/>
  <w15:chartTrackingRefBased/>
  <w15:docId w15:val="{4BA84011-9463-4C8F-BEF1-0E17B605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8FB"/>
    <w:pPr>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8FB"/>
    <w:pPr>
      <w:bidi/>
      <w:ind w:left="720"/>
      <w:contextualSpacing/>
    </w:pPr>
    <w:rPr>
      <w:rFonts w:asciiTheme="minorHAnsi" w:eastAsiaTheme="minorEastAsia" w:hAnsiTheme="minorHAnsi" w:cstheme="minorBidi"/>
      <w:szCs w:val="20"/>
    </w:rPr>
  </w:style>
  <w:style w:type="character" w:customStyle="1" w:styleId="microorganism">
    <w:name w:val="microorganism"/>
    <w:basedOn w:val="DefaultParagraphFont"/>
    <w:rsid w:val="00590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565</Words>
  <Characters>3223</Characters>
  <Application>Microsoft Office Word</Application>
  <DocSecurity>0</DocSecurity>
  <Lines>26</Lines>
  <Paragraphs>7</Paragraphs>
  <ScaleCrop>false</ScaleCrop>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Mayada Tharwat [Pharma]</dc:creator>
  <cp:keywords/>
  <dc:description/>
  <cp:lastModifiedBy>Mayada Tharwat [Pharma]</cp:lastModifiedBy>
  <cp:revision>4</cp:revision>
  <cp:lastPrinted>2022-10-03T14:57:00Z</cp:lastPrinted>
  <dcterms:created xsi:type="dcterms:W3CDTF">2022-10-03T14:55:00Z</dcterms:created>
  <dcterms:modified xsi:type="dcterms:W3CDTF">2022-10-10T06:14:00Z</dcterms:modified>
</cp:coreProperties>
</file>