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3065D" w14:textId="77777777" w:rsidR="002714FD" w:rsidRDefault="005E12CF">
      <w:pPr>
        <w:pStyle w:val="BodyText"/>
        <w:spacing w:before="7"/>
        <w:rPr>
          <w:sz w:val="27"/>
        </w:rPr>
      </w:pPr>
      <w:r>
        <w:br w:type="column"/>
      </w:r>
    </w:p>
    <w:p w14:paraId="4507F1EE" w14:textId="401FA17B" w:rsidR="002714FD" w:rsidRPr="00DC68EA" w:rsidRDefault="00466EB0" w:rsidP="00EB6244">
      <w:pPr>
        <w:pStyle w:val="Heading1"/>
        <w:spacing w:before="1"/>
        <w:ind w:left="-720"/>
        <w:rPr>
          <w:sz w:val="32"/>
          <w:szCs w:val="32"/>
        </w:rPr>
      </w:pPr>
      <w:proofErr w:type="spellStart"/>
      <w:r w:rsidRPr="00DC68EA">
        <w:rPr>
          <w:w w:val="105"/>
          <w:sz w:val="32"/>
          <w:szCs w:val="32"/>
        </w:rPr>
        <w:t>Triclazole</w:t>
      </w:r>
      <w:proofErr w:type="spellEnd"/>
    </w:p>
    <w:p w14:paraId="5CD910A0" w14:textId="11939E35" w:rsidR="002714FD" w:rsidRPr="00DC68EA" w:rsidRDefault="005E12CF" w:rsidP="00EB6244">
      <w:pPr>
        <w:spacing w:line="332" w:lineRule="exact"/>
        <w:ind w:left="-720" w:right="3480"/>
        <w:jc w:val="center"/>
        <w:rPr>
          <w:sz w:val="29"/>
        </w:rPr>
      </w:pPr>
      <w:r w:rsidRPr="00DC68EA">
        <w:rPr>
          <w:color w:val="0F0F0F"/>
          <w:w w:val="105"/>
          <w:sz w:val="28"/>
          <w:szCs w:val="20"/>
        </w:rPr>
        <w:t>Or</w:t>
      </w:r>
      <w:r w:rsidR="00466EB0" w:rsidRPr="00DC68EA">
        <w:rPr>
          <w:color w:val="0F0F0F"/>
          <w:w w:val="105"/>
          <w:sz w:val="28"/>
          <w:szCs w:val="20"/>
        </w:rPr>
        <w:t>a</w:t>
      </w:r>
      <w:r w:rsidRPr="00DC68EA">
        <w:rPr>
          <w:color w:val="0F0F0F"/>
          <w:w w:val="105"/>
          <w:sz w:val="28"/>
          <w:szCs w:val="20"/>
        </w:rPr>
        <w:t xml:space="preserve">l </w:t>
      </w:r>
      <w:r w:rsidR="00466EB0" w:rsidRPr="00DC68EA">
        <w:rPr>
          <w:w w:val="105"/>
          <w:sz w:val="28"/>
          <w:szCs w:val="20"/>
        </w:rPr>
        <w:t>D</w:t>
      </w:r>
      <w:r w:rsidRPr="00DC68EA">
        <w:rPr>
          <w:w w:val="105"/>
          <w:sz w:val="28"/>
          <w:szCs w:val="20"/>
        </w:rPr>
        <w:t xml:space="preserve">rench </w:t>
      </w:r>
      <w:r w:rsidR="00466EB0" w:rsidRPr="00DC68EA">
        <w:rPr>
          <w:w w:val="105"/>
          <w:sz w:val="28"/>
          <w:szCs w:val="20"/>
        </w:rPr>
        <w:t>S</w:t>
      </w:r>
      <w:r w:rsidRPr="00DC68EA">
        <w:rPr>
          <w:w w:val="105"/>
          <w:sz w:val="28"/>
          <w:szCs w:val="20"/>
        </w:rPr>
        <w:t>uspension</w:t>
      </w:r>
      <w:r w:rsidR="00DC68EA" w:rsidRPr="00DC68EA">
        <w:rPr>
          <w:w w:val="105"/>
          <w:sz w:val="28"/>
          <w:szCs w:val="20"/>
        </w:rPr>
        <w:br/>
        <w:t>For Veterinary use only</w:t>
      </w:r>
      <w:r w:rsidR="00DC68EA" w:rsidRPr="00DC68EA">
        <w:rPr>
          <w:sz w:val="29"/>
        </w:rPr>
        <w:t xml:space="preserve"> </w:t>
      </w:r>
    </w:p>
    <w:p w14:paraId="0E5FA9D0" w14:textId="77777777" w:rsidR="002714FD" w:rsidRDefault="002714FD">
      <w:pPr>
        <w:spacing w:line="332" w:lineRule="exact"/>
        <w:jc w:val="center"/>
        <w:rPr>
          <w:sz w:val="29"/>
        </w:rPr>
        <w:sectPr w:rsidR="002714FD">
          <w:type w:val="continuous"/>
          <w:pgSz w:w="12240" w:h="17120"/>
          <w:pgMar w:top="1380" w:right="620" w:bottom="0" w:left="360" w:header="720" w:footer="720" w:gutter="0"/>
          <w:cols w:num="2" w:space="720" w:equalWidth="0">
            <w:col w:w="2416" w:space="2124"/>
            <w:col w:w="6720"/>
          </w:cols>
        </w:sectPr>
      </w:pPr>
    </w:p>
    <w:p w14:paraId="07024252" w14:textId="3D9C8029" w:rsidR="002714FD" w:rsidRDefault="002714FD">
      <w:pPr>
        <w:pStyle w:val="BodyText"/>
        <w:spacing w:before="1"/>
        <w:rPr>
          <w:sz w:val="12"/>
        </w:rPr>
      </w:pPr>
    </w:p>
    <w:p w14:paraId="7CB6E847" w14:textId="2D0C1509" w:rsidR="002714FD" w:rsidRPr="005E12CF" w:rsidRDefault="00466EB0" w:rsidP="00EB6244">
      <w:pPr>
        <w:spacing w:before="92" w:line="229" w:lineRule="exact"/>
        <w:ind w:left="360"/>
        <w:rPr>
          <w:szCs w:val="24"/>
          <w:u w:val="single"/>
        </w:rPr>
      </w:pPr>
      <w:r w:rsidRPr="005E12CF">
        <w:rPr>
          <w:b/>
          <w:bCs/>
          <w:w w:val="99"/>
          <w:szCs w:val="24"/>
          <w:u w:val="single"/>
        </w:rPr>
        <w:t>Composition</w:t>
      </w:r>
      <w:r w:rsidRPr="005E12CF">
        <w:rPr>
          <w:w w:val="99"/>
          <w:szCs w:val="24"/>
          <w:u w:val="single"/>
        </w:rPr>
        <w:t>:</w:t>
      </w:r>
    </w:p>
    <w:p w14:paraId="0FF9D73E" w14:textId="57F0261B" w:rsidR="002714FD" w:rsidRDefault="00466EB0" w:rsidP="00EB6244">
      <w:pPr>
        <w:spacing w:line="214" w:lineRule="exact"/>
        <w:ind w:left="360"/>
        <w:rPr>
          <w:sz w:val="21"/>
        </w:rPr>
      </w:pPr>
      <w:r>
        <w:rPr>
          <w:color w:val="1D1D1D"/>
          <w:sz w:val="21"/>
        </w:rPr>
        <w:t>E</w:t>
      </w:r>
      <w:r w:rsidR="005E12CF">
        <w:rPr>
          <w:color w:val="1D1D1D"/>
          <w:sz w:val="21"/>
        </w:rPr>
        <w:t xml:space="preserve">ach </w:t>
      </w:r>
      <w:r>
        <w:rPr>
          <w:color w:val="2D2D2D"/>
          <w:sz w:val="21"/>
        </w:rPr>
        <w:t>10</w:t>
      </w:r>
      <w:r w:rsidR="005E12CF">
        <w:rPr>
          <w:color w:val="2D2D2D"/>
          <w:sz w:val="21"/>
        </w:rPr>
        <w:t xml:space="preserve">0 ml </w:t>
      </w:r>
      <w:r>
        <w:rPr>
          <w:color w:val="1F1F1F"/>
          <w:sz w:val="21"/>
        </w:rPr>
        <w:t>Contains</w:t>
      </w:r>
      <w:r w:rsidR="005E12CF">
        <w:rPr>
          <w:color w:val="1F1F1F"/>
          <w:sz w:val="21"/>
        </w:rPr>
        <w:t>:</w:t>
      </w:r>
    </w:p>
    <w:p w14:paraId="7EC32B47" w14:textId="3EE4C833" w:rsidR="002714FD" w:rsidRDefault="005E12CF" w:rsidP="00EB6244">
      <w:pPr>
        <w:tabs>
          <w:tab w:val="left" w:pos="4521"/>
        </w:tabs>
        <w:spacing w:line="276" w:lineRule="exact"/>
        <w:ind w:left="360"/>
        <w:jc w:val="both"/>
        <w:rPr>
          <w:sz w:val="25"/>
        </w:rPr>
      </w:pPr>
      <w:r>
        <w:rPr>
          <w:color w:val="0A0A0A"/>
        </w:rPr>
        <w:t>Tric</w:t>
      </w:r>
      <w:r w:rsidR="00466EB0">
        <w:rPr>
          <w:color w:val="0A0A0A"/>
        </w:rPr>
        <w:t>l</w:t>
      </w:r>
      <w:r>
        <w:rPr>
          <w:color w:val="0A0A0A"/>
        </w:rPr>
        <w:t>a</w:t>
      </w:r>
      <w:r w:rsidR="00466EB0">
        <w:rPr>
          <w:color w:val="0A0A0A"/>
        </w:rPr>
        <w:t>be</w:t>
      </w:r>
      <w:r>
        <w:rPr>
          <w:color w:val="0A0A0A"/>
        </w:rPr>
        <w:t>ndazole</w:t>
      </w:r>
      <w:r>
        <w:rPr>
          <w:color w:val="0A0A0A"/>
        </w:rPr>
        <w:tab/>
      </w:r>
      <w:r>
        <w:rPr>
          <w:color w:val="0A0A0A"/>
          <w:position w:val="1"/>
          <w:sz w:val="25"/>
        </w:rPr>
        <w:t>10</w:t>
      </w:r>
      <w:r>
        <w:rPr>
          <w:color w:val="0A0A0A"/>
          <w:spacing w:val="2"/>
          <w:position w:val="1"/>
          <w:sz w:val="25"/>
        </w:rPr>
        <w:t xml:space="preserve"> </w:t>
      </w:r>
      <w:r>
        <w:rPr>
          <w:color w:val="0C0C0C"/>
          <w:position w:val="1"/>
          <w:sz w:val="25"/>
        </w:rPr>
        <w:t>g</w:t>
      </w:r>
    </w:p>
    <w:p w14:paraId="2060471E" w14:textId="77777777" w:rsidR="002714FD" w:rsidRDefault="002714FD" w:rsidP="00EB6244">
      <w:pPr>
        <w:pStyle w:val="BodyText"/>
        <w:ind w:left="360"/>
        <w:rPr>
          <w:sz w:val="20"/>
        </w:rPr>
      </w:pPr>
    </w:p>
    <w:p w14:paraId="7B46E9D0" w14:textId="6C0D6F37" w:rsidR="002714FD" w:rsidRPr="00EB6244" w:rsidRDefault="00466EB0" w:rsidP="00DB0858">
      <w:pPr>
        <w:spacing w:after="19"/>
        <w:ind w:left="360"/>
      </w:pPr>
      <w:r w:rsidRPr="005E12CF">
        <w:rPr>
          <w:b/>
          <w:bCs/>
          <w:w w:val="99"/>
          <w:szCs w:val="24"/>
          <w:u w:val="single"/>
        </w:rPr>
        <w:t>Properties</w:t>
      </w:r>
      <w:r>
        <w:rPr>
          <w:sz w:val="21"/>
        </w:rPr>
        <w:br/>
      </w:r>
      <w:r w:rsidR="00B01F13" w:rsidRPr="00EB6244">
        <w:t>Pharmacotherapeutic</w:t>
      </w:r>
      <w:r w:rsidR="005E12CF" w:rsidRPr="00EB6244">
        <w:t xml:space="preserve"> group: </w:t>
      </w:r>
      <w:r w:rsidR="00B01F13" w:rsidRPr="00EB6244">
        <w:t>Anthelmintics</w:t>
      </w:r>
      <w:r w:rsidR="00DC68EA">
        <w:t>.</w:t>
      </w:r>
    </w:p>
    <w:p w14:paraId="6A84D183" w14:textId="74B32C15" w:rsidR="002714FD" w:rsidRDefault="00EB6244" w:rsidP="00DB0858">
      <w:pPr>
        <w:pStyle w:val="BodyText"/>
        <w:ind w:left="360"/>
        <w:rPr>
          <w:sz w:val="22"/>
          <w:szCs w:val="22"/>
        </w:rPr>
      </w:pPr>
      <w:r w:rsidRPr="00EB6244">
        <w:rPr>
          <w:sz w:val="22"/>
          <w:szCs w:val="22"/>
        </w:rPr>
        <w:t>Triclabendazole differs from other benzimidazoles in that is a narrow spectrum anthelmintic</w:t>
      </w:r>
      <w:r w:rsidR="00DC68EA">
        <w:rPr>
          <w:sz w:val="22"/>
          <w:szCs w:val="22"/>
        </w:rPr>
        <w:t xml:space="preserve">. The drug accumulates significantly in both immature and adult stages of </w:t>
      </w:r>
      <w:r w:rsidR="00DC68EA" w:rsidRPr="007E4664">
        <w:rPr>
          <w:i/>
          <w:iCs/>
          <w:sz w:val="22"/>
          <w:szCs w:val="22"/>
        </w:rPr>
        <w:t>Fasciola hepatica</w:t>
      </w:r>
      <w:r w:rsidR="00DC68EA">
        <w:rPr>
          <w:sz w:val="22"/>
          <w:szCs w:val="22"/>
        </w:rPr>
        <w:t xml:space="preserve"> and stimulates the major routes of the parasite</w:t>
      </w:r>
      <w:r w:rsidR="00B01F13">
        <w:rPr>
          <w:sz w:val="22"/>
          <w:szCs w:val="22"/>
        </w:rPr>
        <w:t xml:space="preserve">`s energy generating system. As demonstrated by glucose derived acetate and propionate formation. However, </w:t>
      </w:r>
      <w:r w:rsidR="00BE384E">
        <w:rPr>
          <w:sz w:val="22"/>
          <w:szCs w:val="22"/>
        </w:rPr>
        <w:t>under</w:t>
      </w:r>
      <w:r w:rsidR="00B01F13">
        <w:rPr>
          <w:sz w:val="22"/>
          <w:szCs w:val="22"/>
        </w:rPr>
        <w:t xml:space="preserve"> these conditions the parasite`s motility decreased, indicating that the drug is not associated with inhibition of the energy generating pathways. Triclabendazole inhibits </w:t>
      </w:r>
      <w:r w:rsidR="00C55767">
        <w:rPr>
          <w:sz w:val="22"/>
          <w:szCs w:val="22"/>
        </w:rPr>
        <w:t xml:space="preserve">colchicine binding to microtubular proteins suggesting interference of the drug with microtubular structure and function. The drug strongly inhibits the release of proteolytic </w:t>
      </w:r>
      <w:r w:rsidR="00BE384E">
        <w:rPr>
          <w:sz w:val="22"/>
          <w:szCs w:val="22"/>
        </w:rPr>
        <w:t>enzymes</w:t>
      </w:r>
      <w:r w:rsidR="00C55767">
        <w:rPr>
          <w:sz w:val="22"/>
          <w:szCs w:val="22"/>
        </w:rPr>
        <w:t xml:space="preserve"> in immature and adult Parasites, a process dependent on microtubular </w:t>
      </w:r>
      <w:r w:rsidR="00ED0966">
        <w:rPr>
          <w:sz w:val="22"/>
          <w:szCs w:val="22"/>
        </w:rPr>
        <w:t>functions.</w:t>
      </w:r>
      <w:r w:rsidR="00C55767">
        <w:rPr>
          <w:sz w:val="22"/>
          <w:szCs w:val="22"/>
        </w:rPr>
        <w:br/>
      </w:r>
      <w:r w:rsidR="00BE384E">
        <w:rPr>
          <w:sz w:val="22"/>
          <w:szCs w:val="22"/>
        </w:rPr>
        <w:t>The precise</w:t>
      </w:r>
      <w:r w:rsidR="00ED0966">
        <w:rPr>
          <w:sz w:val="22"/>
          <w:szCs w:val="22"/>
        </w:rPr>
        <w:t xml:space="preserve"> molecular mode of action of this </w:t>
      </w:r>
      <w:proofErr w:type="spellStart"/>
      <w:r w:rsidR="00ED0966">
        <w:rPr>
          <w:sz w:val="22"/>
          <w:szCs w:val="22"/>
        </w:rPr>
        <w:t>faciolicidal</w:t>
      </w:r>
      <w:proofErr w:type="spellEnd"/>
      <w:r w:rsidR="00ED0966">
        <w:rPr>
          <w:sz w:val="22"/>
          <w:szCs w:val="22"/>
        </w:rPr>
        <w:t xml:space="preserve"> drug remains to be elucidated. 50-75 % </w:t>
      </w:r>
      <w:r w:rsidR="00DB0858">
        <w:rPr>
          <w:sz w:val="22"/>
          <w:szCs w:val="22"/>
        </w:rPr>
        <w:t>of the orally</w:t>
      </w:r>
      <w:r w:rsidR="001A601A">
        <w:rPr>
          <w:sz w:val="22"/>
          <w:szCs w:val="22"/>
        </w:rPr>
        <w:t xml:space="preserve"> administered dose of triclabendazole is absorbed from the gastrointestinal tract. Very rapidly, absorbed triclabendazole is almost completely oxidized to its sulfoxide and sulfone.</w:t>
      </w:r>
      <w:r w:rsidR="001A601A">
        <w:rPr>
          <w:sz w:val="22"/>
          <w:szCs w:val="22"/>
        </w:rPr>
        <w:br/>
        <w:t xml:space="preserve">In cattle, </w:t>
      </w:r>
      <w:r w:rsidR="00BE384E">
        <w:rPr>
          <w:sz w:val="22"/>
          <w:szCs w:val="22"/>
        </w:rPr>
        <w:t>triclabendazole</w:t>
      </w:r>
      <w:r w:rsidR="001A601A">
        <w:rPr>
          <w:sz w:val="22"/>
          <w:szCs w:val="22"/>
        </w:rPr>
        <w:t xml:space="preserve"> sulfoxide reaches peak concentrations approximately 27 hours after administration of the product and the sulfone reaches peak concentrations 64 to 72 hours after administration.</w:t>
      </w:r>
      <w:r w:rsidR="001A601A">
        <w:rPr>
          <w:sz w:val="22"/>
          <w:szCs w:val="22"/>
        </w:rPr>
        <w:br/>
        <w:t xml:space="preserve">In sheep, triclabendazole sulfoxide reaches peak concentrations approximately 20 </w:t>
      </w:r>
      <w:r w:rsidR="00BE384E">
        <w:rPr>
          <w:sz w:val="22"/>
          <w:szCs w:val="22"/>
        </w:rPr>
        <w:t>hours</w:t>
      </w:r>
      <w:r w:rsidR="001A601A">
        <w:rPr>
          <w:sz w:val="22"/>
          <w:szCs w:val="22"/>
        </w:rPr>
        <w:t xml:space="preserve"> after administration of the product and the sulfone reaches peak concentrations 30 to 32 hours after administration.</w:t>
      </w:r>
      <w:r w:rsidR="00204DD5">
        <w:rPr>
          <w:sz w:val="22"/>
          <w:szCs w:val="22"/>
        </w:rPr>
        <w:br/>
        <w:t>Both metabolites bind strongly to plasma proteins, particularly albumin.</w:t>
      </w:r>
      <w:r w:rsidR="00204DD5">
        <w:rPr>
          <w:sz w:val="22"/>
          <w:szCs w:val="22"/>
        </w:rPr>
        <w:br/>
        <w:t xml:space="preserve">Metabolites are excreted via the bile mainly as conjugates. More than 90% - 95% of the total dose of triclabendazole is excreted in the feces. About 2% in the urine and less than 1% in the milk. The eliminations </w:t>
      </w:r>
      <w:proofErr w:type="gramStart"/>
      <w:r w:rsidR="00204DD5">
        <w:rPr>
          <w:sz w:val="22"/>
          <w:szCs w:val="22"/>
        </w:rPr>
        <w:t>is</w:t>
      </w:r>
      <w:proofErr w:type="gramEnd"/>
      <w:r w:rsidR="00204DD5">
        <w:rPr>
          <w:sz w:val="22"/>
          <w:szCs w:val="22"/>
        </w:rPr>
        <w:t xml:space="preserve"> virtually complete by 10 days after administration.</w:t>
      </w:r>
    </w:p>
    <w:p w14:paraId="7D5AAAF8" w14:textId="1A5DF238" w:rsidR="00204DD5" w:rsidRPr="0017223F" w:rsidRDefault="00204DD5" w:rsidP="0017223F">
      <w:pPr>
        <w:spacing w:before="92" w:line="229" w:lineRule="exact"/>
        <w:ind w:left="360"/>
        <w:rPr>
          <w:b/>
          <w:bCs/>
          <w:w w:val="99"/>
          <w:szCs w:val="24"/>
          <w:u w:val="thick" w:color="2F343B"/>
        </w:rPr>
      </w:pPr>
    </w:p>
    <w:p w14:paraId="21220737" w14:textId="790545F0" w:rsidR="00204DD5" w:rsidRPr="005E12CF" w:rsidRDefault="00204DD5" w:rsidP="0017223F">
      <w:pPr>
        <w:spacing w:before="92" w:line="229" w:lineRule="exact"/>
        <w:ind w:left="360"/>
        <w:rPr>
          <w:b/>
          <w:bCs/>
          <w:w w:val="99"/>
          <w:szCs w:val="24"/>
          <w:u w:val="single"/>
        </w:rPr>
      </w:pPr>
      <w:r w:rsidRPr="005E12CF">
        <w:rPr>
          <w:b/>
          <w:bCs/>
          <w:w w:val="99"/>
          <w:szCs w:val="24"/>
          <w:u w:val="single"/>
        </w:rPr>
        <w:t>Indications:</w:t>
      </w:r>
    </w:p>
    <w:p w14:paraId="5A5907CA" w14:textId="799732C4" w:rsidR="00204DD5" w:rsidRDefault="00204DD5" w:rsidP="00DB0858">
      <w:pPr>
        <w:pStyle w:val="BodyTex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For the treatment of adult, immature and early immature stages of liver fluke </w:t>
      </w:r>
      <w:r w:rsidRPr="00204DD5">
        <w:rPr>
          <w:i/>
          <w:iCs/>
          <w:sz w:val="22"/>
          <w:szCs w:val="22"/>
        </w:rPr>
        <w:t>(</w:t>
      </w:r>
      <w:r w:rsidR="007E4664">
        <w:rPr>
          <w:i/>
          <w:iCs/>
          <w:sz w:val="22"/>
          <w:szCs w:val="22"/>
        </w:rPr>
        <w:t>Fasciola</w:t>
      </w:r>
      <w:r w:rsidRPr="00204DD5">
        <w:rPr>
          <w:i/>
          <w:iCs/>
          <w:sz w:val="22"/>
          <w:szCs w:val="22"/>
        </w:rPr>
        <w:t xml:space="preserve"> hepatica)</w:t>
      </w:r>
      <w:r w:rsidR="00BE384E">
        <w:rPr>
          <w:i/>
          <w:iCs/>
          <w:sz w:val="22"/>
          <w:szCs w:val="22"/>
        </w:rPr>
        <w:t xml:space="preserve"> </w:t>
      </w:r>
      <w:r w:rsidR="00BE384E">
        <w:rPr>
          <w:sz w:val="22"/>
          <w:szCs w:val="22"/>
        </w:rPr>
        <w:t>susceptible to triclabendazole.</w:t>
      </w:r>
    </w:p>
    <w:p w14:paraId="3639788B" w14:textId="55D22A63" w:rsidR="00BE384E" w:rsidRDefault="00BE384E" w:rsidP="00DB0858">
      <w:pPr>
        <w:pStyle w:val="BodyText"/>
        <w:ind w:left="360"/>
        <w:rPr>
          <w:sz w:val="22"/>
          <w:szCs w:val="22"/>
        </w:rPr>
      </w:pPr>
    </w:p>
    <w:p w14:paraId="7AB0F326" w14:textId="30D3DD6F" w:rsidR="00BE384E" w:rsidRDefault="00BE384E" w:rsidP="00DB0858">
      <w:pPr>
        <w:pStyle w:val="BodyText"/>
        <w:ind w:left="360"/>
        <w:rPr>
          <w:sz w:val="22"/>
          <w:szCs w:val="22"/>
        </w:rPr>
      </w:pPr>
      <w:r w:rsidRPr="005E12CF">
        <w:rPr>
          <w:b/>
          <w:bCs/>
          <w:w w:val="99"/>
          <w:sz w:val="22"/>
          <w:szCs w:val="24"/>
          <w:u w:val="single"/>
        </w:rPr>
        <w:t>Target species:</w:t>
      </w:r>
      <w:r>
        <w:rPr>
          <w:sz w:val="22"/>
          <w:szCs w:val="22"/>
        </w:rPr>
        <w:t xml:space="preserve"> Cattle &amp; sheep</w:t>
      </w:r>
    </w:p>
    <w:p w14:paraId="4AE2AE4F" w14:textId="7545F55F" w:rsidR="00BE384E" w:rsidRDefault="00BE384E" w:rsidP="00DB0858">
      <w:pPr>
        <w:pStyle w:val="BodyText"/>
        <w:ind w:left="360"/>
        <w:rPr>
          <w:sz w:val="22"/>
          <w:szCs w:val="22"/>
        </w:rPr>
      </w:pPr>
    </w:p>
    <w:p w14:paraId="17E33433" w14:textId="5010DDE7" w:rsidR="00BE384E" w:rsidRDefault="00BE384E" w:rsidP="00DB0858">
      <w:pPr>
        <w:pStyle w:val="BodyText"/>
        <w:ind w:left="360"/>
        <w:rPr>
          <w:sz w:val="22"/>
          <w:szCs w:val="22"/>
        </w:rPr>
      </w:pPr>
      <w:r w:rsidRPr="005E12CF">
        <w:rPr>
          <w:b/>
          <w:bCs/>
          <w:w w:val="99"/>
          <w:sz w:val="22"/>
          <w:szCs w:val="24"/>
          <w:u w:val="single"/>
        </w:rPr>
        <w:t>Dose and administration:</w:t>
      </w:r>
      <w:r w:rsidRPr="005E12CF">
        <w:rPr>
          <w:sz w:val="22"/>
          <w:szCs w:val="22"/>
          <w:u w:val="single"/>
        </w:rPr>
        <w:br/>
      </w:r>
      <w:r>
        <w:rPr>
          <w:sz w:val="22"/>
          <w:szCs w:val="22"/>
        </w:rPr>
        <w:t>For Whole product:</w:t>
      </w:r>
      <w:r>
        <w:rPr>
          <w:sz w:val="22"/>
          <w:szCs w:val="22"/>
        </w:rPr>
        <w:br/>
        <w:t>Cattle: 6 ml per 50 kg bodyweight.</w:t>
      </w:r>
      <w:r>
        <w:rPr>
          <w:sz w:val="22"/>
          <w:szCs w:val="22"/>
        </w:rPr>
        <w:br/>
        <w:t>Sheep: 1 ml per 10 kg bodyweight.</w:t>
      </w:r>
    </w:p>
    <w:p w14:paraId="321DC6E7" w14:textId="3B64598B" w:rsidR="00BE384E" w:rsidRDefault="00BE384E" w:rsidP="00DB0858">
      <w:pPr>
        <w:pStyle w:val="BodyText"/>
        <w:ind w:left="360"/>
        <w:rPr>
          <w:sz w:val="22"/>
          <w:szCs w:val="22"/>
        </w:rPr>
      </w:pPr>
    </w:p>
    <w:p w14:paraId="13CC0A3B" w14:textId="3AD7812C" w:rsidR="00BE384E" w:rsidRDefault="00BE384E" w:rsidP="00DB0858">
      <w:pPr>
        <w:pStyle w:val="BodyText"/>
        <w:ind w:left="360"/>
        <w:rPr>
          <w:sz w:val="22"/>
          <w:szCs w:val="22"/>
        </w:rPr>
      </w:pPr>
      <w:proofErr w:type="spellStart"/>
      <w:r>
        <w:rPr>
          <w:sz w:val="22"/>
          <w:szCs w:val="22"/>
        </w:rPr>
        <w:t>Triclazole</w:t>
      </w:r>
      <w:proofErr w:type="spellEnd"/>
      <w:r>
        <w:rPr>
          <w:sz w:val="22"/>
          <w:szCs w:val="22"/>
        </w:rPr>
        <w:t xml:space="preserve"> is given as an oral drench and is suitable for most types of automatic drenching </w:t>
      </w:r>
      <w:r w:rsidR="00334230">
        <w:rPr>
          <w:sz w:val="22"/>
          <w:szCs w:val="22"/>
        </w:rPr>
        <w:t xml:space="preserve">guns. For single </w:t>
      </w:r>
      <w:proofErr w:type="spellStart"/>
      <w:r w:rsidR="00334230">
        <w:rPr>
          <w:sz w:val="22"/>
          <w:szCs w:val="22"/>
        </w:rPr>
        <w:t>orl</w:t>
      </w:r>
      <w:proofErr w:type="spellEnd"/>
      <w:r w:rsidR="00334230">
        <w:rPr>
          <w:sz w:val="22"/>
          <w:szCs w:val="22"/>
        </w:rPr>
        <w:t xml:space="preserve"> administration only using properly calibrated dosing equipment. The product is suitable for most types of automatic drenching guns. Shake the container before use.</w:t>
      </w:r>
      <w:r w:rsidR="00334230">
        <w:rPr>
          <w:sz w:val="22"/>
          <w:szCs w:val="22"/>
        </w:rPr>
        <w:br/>
        <w:t>Use unaltered from original container.</w:t>
      </w:r>
    </w:p>
    <w:p w14:paraId="0EA93C25" w14:textId="77777777" w:rsidR="0017223F" w:rsidRDefault="00334230" w:rsidP="00DB0858">
      <w:pPr>
        <w:pStyle w:val="BodyText"/>
        <w:ind w:left="360"/>
        <w:rPr>
          <w:sz w:val="22"/>
          <w:szCs w:val="22"/>
        </w:rPr>
      </w:pPr>
      <w:r>
        <w:rPr>
          <w:sz w:val="22"/>
          <w:szCs w:val="22"/>
        </w:rPr>
        <w:t>Clean drenching equipment before and after use.</w:t>
      </w:r>
      <w:r>
        <w:rPr>
          <w:sz w:val="22"/>
          <w:szCs w:val="22"/>
        </w:rPr>
        <w:br/>
        <w:t>to ensure administration of a correct dose, bodyweight should be determined as accurately as possible</w:t>
      </w:r>
      <w:r w:rsidR="000E11A8">
        <w:rPr>
          <w:sz w:val="22"/>
          <w:szCs w:val="22"/>
        </w:rPr>
        <w:t>; accuracy of the dosing device should be checked.</w:t>
      </w:r>
    </w:p>
    <w:p w14:paraId="5F501E1C" w14:textId="77777777" w:rsidR="0017223F" w:rsidRDefault="0017223F" w:rsidP="005E12CF">
      <w:pPr>
        <w:pStyle w:val="ListParagraph"/>
      </w:pPr>
    </w:p>
    <w:p w14:paraId="577E5E77" w14:textId="77777777" w:rsidR="0017223F" w:rsidRDefault="0017223F" w:rsidP="005E12CF">
      <w:pPr>
        <w:pStyle w:val="ListParagraph"/>
      </w:pPr>
    </w:p>
    <w:p w14:paraId="2567C736" w14:textId="77777777" w:rsidR="0017223F" w:rsidRDefault="0017223F" w:rsidP="005E12CF">
      <w:pPr>
        <w:pStyle w:val="ListParagraph"/>
      </w:pPr>
    </w:p>
    <w:p w14:paraId="7D8823FD" w14:textId="77777777" w:rsidR="0017223F" w:rsidRDefault="0017223F" w:rsidP="005E12CF">
      <w:pPr>
        <w:pStyle w:val="ListParagraph"/>
      </w:pPr>
    </w:p>
    <w:p w14:paraId="3BF5110A" w14:textId="77777777" w:rsidR="0017223F" w:rsidRDefault="0017223F" w:rsidP="005E12CF">
      <w:pPr>
        <w:pStyle w:val="ListParagraph"/>
      </w:pPr>
    </w:p>
    <w:p w14:paraId="3EC235CE" w14:textId="77777777" w:rsidR="0017223F" w:rsidRDefault="0017223F" w:rsidP="005E12CF">
      <w:pPr>
        <w:pStyle w:val="ListParagraph"/>
      </w:pPr>
    </w:p>
    <w:p w14:paraId="287F8455" w14:textId="77777777" w:rsidR="0017223F" w:rsidRDefault="0017223F" w:rsidP="005E12CF">
      <w:pPr>
        <w:pStyle w:val="ListParagraph"/>
      </w:pPr>
    </w:p>
    <w:p w14:paraId="2C05899F" w14:textId="77777777" w:rsidR="0017223F" w:rsidRDefault="0017223F" w:rsidP="005E12CF">
      <w:pPr>
        <w:pStyle w:val="ListParagraph"/>
      </w:pPr>
    </w:p>
    <w:p w14:paraId="44242C54" w14:textId="77777777" w:rsidR="0017223F" w:rsidRDefault="0017223F" w:rsidP="005E12CF">
      <w:pPr>
        <w:pStyle w:val="ListParagraph"/>
      </w:pPr>
    </w:p>
    <w:p w14:paraId="41E93B98" w14:textId="77777777" w:rsidR="0017223F" w:rsidRDefault="0017223F" w:rsidP="005E12CF">
      <w:pPr>
        <w:pStyle w:val="ListParagraph"/>
      </w:pPr>
    </w:p>
    <w:p w14:paraId="36A62059" w14:textId="77777777" w:rsidR="0017223F" w:rsidRDefault="0017223F" w:rsidP="005E12CF">
      <w:pPr>
        <w:pStyle w:val="ListParagraph"/>
      </w:pPr>
    </w:p>
    <w:p w14:paraId="4100251C" w14:textId="77777777" w:rsidR="0017223F" w:rsidRDefault="0017223F" w:rsidP="005E12CF">
      <w:pPr>
        <w:pStyle w:val="ListParagraph"/>
      </w:pPr>
    </w:p>
    <w:p w14:paraId="78834CF2" w14:textId="1E33B6FF" w:rsidR="00334230" w:rsidRDefault="000E11A8" w:rsidP="00DB0858">
      <w:pPr>
        <w:pStyle w:val="BodyText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br/>
        <w:t>If animals are to be treated collectively rather than individually, they should be grouped according to their bodyweight and dosed accordingly, in order to avoid under – or overdosing.</w:t>
      </w:r>
      <w:r w:rsidR="007414AF">
        <w:rPr>
          <w:sz w:val="22"/>
          <w:szCs w:val="22"/>
        </w:rPr>
        <w:br/>
        <w:t>The timing for re-treatment should be based on epidemiological risk patterns and should be customized for each individual farm.</w:t>
      </w:r>
      <w:r w:rsidR="007414AF">
        <w:rPr>
          <w:sz w:val="22"/>
          <w:szCs w:val="22"/>
        </w:rPr>
        <w:br/>
        <w:t>To avoid the potential for the accumulation of resides following repeat administration of the product; animals should not be treated with a frequency of less than 10 weeks</w:t>
      </w:r>
      <w:r w:rsidR="00C05F60">
        <w:rPr>
          <w:sz w:val="22"/>
          <w:szCs w:val="22"/>
        </w:rPr>
        <w:t>.</w:t>
      </w:r>
    </w:p>
    <w:p w14:paraId="10129A00" w14:textId="34AAA600" w:rsidR="00C05F60" w:rsidRDefault="00C05F60" w:rsidP="00DB0858">
      <w:pPr>
        <w:pStyle w:val="BodyText"/>
        <w:ind w:left="360"/>
        <w:rPr>
          <w:sz w:val="22"/>
          <w:szCs w:val="22"/>
        </w:rPr>
      </w:pPr>
    </w:p>
    <w:p w14:paraId="11AF2A17" w14:textId="50F830B5" w:rsidR="00C05F60" w:rsidRPr="005E12CF" w:rsidRDefault="00C05F60" w:rsidP="00DB0858">
      <w:pPr>
        <w:pStyle w:val="BodyText"/>
        <w:ind w:left="360"/>
        <w:rPr>
          <w:b/>
          <w:bCs/>
          <w:w w:val="99"/>
          <w:sz w:val="22"/>
          <w:szCs w:val="24"/>
          <w:u w:val="single"/>
        </w:rPr>
      </w:pPr>
      <w:r w:rsidRPr="005E12CF">
        <w:rPr>
          <w:b/>
          <w:bCs/>
          <w:w w:val="99"/>
          <w:sz w:val="22"/>
          <w:szCs w:val="24"/>
          <w:u w:val="single"/>
        </w:rPr>
        <w:t>Overdose:</w:t>
      </w:r>
    </w:p>
    <w:p w14:paraId="5C715E34" w14:textId="42D1CEDA" w:rsidR="00C05F60" w:rsidRDefault="00C05F60" w:rsidP="00DB0858">
      <w:pPr>
        <w:pStyle w:val="BodyTex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 single oral dose of 150-200 mg triclabendazole /Kg of live bodyweight may lead to side effects such as unsteady gait, dullness and reduced appetite, </w:t>
      </w:r>
      <w:proofErr w:type="gramStart"/>
      <w:r>
        <w:rPr>
          <w:sz w:val="22"/>
          <w:szCs w:val="22"/>
        </w:rPr>
        <w:t>These</w:t>
      </w:r>
      <w:proofErr w:type="gramEnd"/>
      <w:r>
        <w:rPr>
          <w:sz w:val="22"/>
          <w:szCs w:val="22"/>
        </w:rPr>
        <w:t xml:space="preserve"> side effects are slight and last 1 to 5 days. An antidote is not known.</w:t>
      </w:r>
    </w:p>
    <w:p w14:paraId="05F94B3A" w14:textId="47C7B53B" w:rsidR="00C05F60" w:rsidRDefault="00C05F60" w:rsidP="00DB0858">
      <w:pPr>
        <w:pStyle w:val="BodyText"/>
        <w:ind w:left="360"/>
        <w:rPr>
          <w:sz w:val="22"/>
          <w:szCs w:val="22"/>
        </w:rPr>
      </w:pPr>
    </w:p>
    <w:p w14:paraId="53806502" w14:textId="5BB36175" w:rsidR="00C05F60" w:rsidRPr="005E12CF" w:rsidRDefault="00C05F60" w:rsidP="00DB0858">
      <w:pPr>
        <w:pStyle w:val="BodyText"/>
        <w:ind w:left="360"/>
        <w:rPr>
          <w:b/>
          <w:bCs/>
          <w:w w:val="99"/>
          <w:sz w:val="22"/>
          <w:szCs w:val="24"/>
          <w:u w:val="single"/>
        </w:rPr>
      </w:pPr>
      <w:r w:rsidRPr="005E12CF">
        <w:rPr>
          <w:b/>
          <w:bCs/>
          <w:w w:val="99"/>
          <w:sz w:val="22"/>
          <w:szCs w:val="24"/>
          <w:u w:val="single"/>
        </w:rPr>
        <w:t>Contraindications:</w:t>
      </w:r>
    </w:p>
    <w:p w14:paraId="0BAEBE5E" w14:textId="7F308811" w:rsidR="00C05F60" w:rsidRDefault="00C05F60" w:rsidP="00DB0858">
      <w:pPr>
        <w:pStyle w:val="BodyText"/>
        <w:ind w:left="360"/>
        <w:rPr>
          <w:sz w:val="22"/>
          <w:szCs w:val="22"/>
        </w:rPr>
      </w:pPr>
      <w:r>
        <w:rPr>
          <w:sz w:val="22"/>
          <w:szCs w:val="22"/>
        </w:rPr>
        <w:t>Do not use in animals known to be hypersensitive to the substance.</w:t>
      </w:r>
    </w:p>
    <w:p w14:paraId="03E0E6D3" w14:textId="77777777" w:rsidR="005E12CF" w:rsidRDefault="005E12CF" w:rsidP="00DB0858">
      <w:pPr>
        <w:pStyle w:val="BodyText"/>
        <w:ind w:left="360"/>
        <w:rPr>
          <w:sz w:val="22"/>
          <w:szCs w:val="22"/>
        </w:rPr>
      </w:pPr>
    </w:p>
    <w:p w14:paraId="4F0F18AD" w14:textId="6F94DAC6" w:rsidR="00C05F60" w:rsidRPr="005E12CF" w:rsidRDefault="00C05F60" w:rsidP="00DB0858">
      <w:pPr>
        <w:pStyle w:val="BodyText"/>
        <w:ind w:left="360"/>
        <w:rPr>
          <w:b/>
          <w:bCs/>
          <w:w w:val="99"/>
          <w:sz w:val="22"/>
          <w:szCs w:val="24"/>
          <w:u w:val="single"/>
        </w:rPr>
      </w:pPr>
      <w:r w:rsidRPr="005E12CF">
        <w:rPr>
          <w:b/>
          <w:bCs/>
          <w:w w:val="99"/>
          <w:sz w:val="22"/>
          <w:szCs w:val="24"/>
          <w:u w:val="single"/>
        </w:rPr>
        <w:t>Warnings &amp; precautions:</w:t>
      </w:r>
    </w:p>
    <w:p w14:paraId="0A3D4901" w14:textId="77777777" w:rsidR="00CC6AB9" w:rsidRPr="00EC713B" w:rsidRDefault="00C05F60" w:rsidP="00CC6AB9">
      <w:pPr>
        <w:pStyle w:val="BodyText"/>
        <w:ind w:left="359"/>
        <w:rPr>
          <w:i/>
          <w:iCs/>
          <w:sz w:val="22"/>
          <w:szCs w:val="22"/>
        </w:rPr>
      </w:pPr>
      <w:r w:rsidRPr="00EC713B">
        <w:rPr>
          <w:i/>
          <w:iCs/>
          <w:sz w:val="22"/>
          <w:szCs w:val="22"/>
        </w:rPr>
        <w:t xml:space="preserve">Special warnings for each target species </w:t>
      </w:r>
    </w:p>
    <w:p w14:paraId="3C99C388" w14:textId="6C265C97" w:rsidR="00C05F60" w:rsidRPr="00DA5DA3" w:rsidRDefault="00CC6AB9" w:rsidP="00CC6AB9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 xml:space="preserve">Care should be taken to avoid the following practices because they increase the risk of development of resistance and could ultimately result in ineffective therapy: - Too frequent and repeated use of anthelmintics from the same class, over an extended </w:t>
      </w:r>
      <w:proofErr w:type="gramStart"/>
      <w:r w:rsidRPr="00DA5DA3">
        <w:rPr>
          <w:sz w:val="22"/>
          <w:szCs w:val="22"/>
        </w:rPr>
        <w:t>period of time</w:t>
      </w:r>
      <w:proofErr w:type="gramEnd"/>
      <w:r w:rsidRPr="00DA5DA3">
        <w:rPr>
          <w:sz w:val="22"/>
          <w:szCs w:val="22"/>
        </w:rPr>
        <w:t>. - Underdosing, which may be due to underestimation of body weight, misadministration of the product, or lack of calibration of the dosing device.</w:t>
      </w:r>
    </w:p>
    <w:p w14:paraId="71D1B0BB" w14:textId="77777777" w:rsidR="00CC6AB9" w:rsidRPr="00DA5DA3" w:rsidRDefault="00CC6AB9" w:rsidP="00CC6AB9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>Suspected clinical cases of resistance to anthelmintics should be further investigated using appropriate tests (</w:t>
      </w:r>
      <w:proofErr w:type="gramStart"/>
      <w:r w:rsidRPr="00DA5DA3">
        <w:rPr>
          <w:sz w:val="22"/>
          <w:szCs w:val="22"/>
        </w:rPr>
        <w:t>e.g.</w:t>
      </w:r>
      <w:proofErr w:type="gramEnd"/>
      <w:r w:rsidRPr="00DA5DA3">
        <w:rPr>
          <w:sz w:val="22"/>
          <w:szCs w:val="22"/>
        </w:rPr>
        <w:t xml:space="preserve"> </w:t>
      </w:r>
      <w:proofErr w:type="spellStart"/>
      <w:r w:rsidRPr="00DA5DA3">
        <w:rPr>
          <w:sz w:val="22"/>
          <w:szCs w:val="22"/>
        </w:rPr>
        <w:t>Faecal</w:t>
      </w:r>
      <w:proofErr w:type="spellEnd"/>
      <w:r w:rsidRPr="00DA5DA3">
        <w:rPr>
          <w:sz w:val="22"/>
          <w:szCs w:val="22"/>
        </w:rPr>
        <w:t xml:space="preserve"> Egg Count Reduction Test). Where the results of the test(s) strongly suggest resistance to a particular anthelmintic, an anthelmintic belonging to another pharmacological class and having a different mode of action should be used. </w:t>
      </w:r>
    </w:p>
    <w:p w14:paraId="2F8CB267" w14:textId="36327223" w:rsidR="00CC6AB9" w:rsidRPr="00DA5DA3" w:rsidRDefault="00CC6AB9" w:rsidP="00CC6AB9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 xml:space="preserve">Resistance to </w:t>
      </w:r>
      <w:proofErr w:type="spellStart"/>
      <w:r w:rsidRPr="00DA5DA3">
        <w:rPr>
          <w:sz w:val="22"/>
          <w:szCs w:val="22"/>
        </w:rPr>
        <w:t>triclabendazolehas</w:t>
      </w:r>
      <w:proofErr w:type="spellEnd"/>
      <w:r w:rsidRPr="00DA5DA3">
        <w:rPr>
          <w:sz w:val="22"/>
          <w:szCs w:val="22"/>
        </w:rPr>
        <w:t xml:space="preserve"> been reported in </w:t>
      </w:r>
      <w:r w:rsidRPr="007E4664">
        <w:rPr>
          <w:i/>
          <w:iCs/>
          <w:sz w:val="22"/>
          <w:szCs w:val="22"/>
        </w:rPr>
        <w:t>Fasciola hepatica</w:t>
      </w:r>
      <w:r w:rsidRPr="00DA5DA3">
        <w:rPr>
          <w:sz w:val="22"/>
          <w:szCs w:val="22"/>
        </w:rPr>
        <w:t xml:space="preserve"> in cattle and </w:t>
      </w:r>
      <w:proofErr w:type="spellStart"/>
      <w:proofErr w:type="gramStart"/>
      <w:r w:rsidRPr="00DA5DA3">
        <w:rPr>
          <w:sz w:val="22"/>
          <w:szCs w:val="22"/>
        </w:rPr>
        <w:t>sheep.Therefore</w:t>
      </w:r>
      <w:proofErr w:type="spellEnd"/>
      <w:proofErr w:type="gramEnd"/>
      <w:r w:rsidRPr="00DA5DA3">
        <w:rPr>
          <w:sz w:val="22"/>
          <w:szCs w:val="22"/>
        </w:rPr>
        <w:t xml:space="preserve">, the use of this product should be based on local (regional, farm) epidemiological information about susceptibility of the </w:t>
      </w:r>
      <w:r w:rsidRPr="007E4664">
        <w:rPr>
          <w:i/>
          <w:iCs/>
          <w:sz w:val="22"/>
          <w:szCs w:val="22"/>
        </w:rPr>
        <w:t>Fasciola hepatica</w:t>
      </w:r>
      <w:r w:rsidRPr="00DA5DA3">
        <w:rPr>
          <w:sz w:val="22"/>
          <w:szCs w:val="22"/>
        </w:rPr>
        <w:t xml:space="preserve"> and recommendations on how to limit further selection for resistance to anthelmintics.</w:t>
      </w:r>
    </w:p>
    <w:p w14:paraId="57FB4A5F" w14:textId="2C630E94" w:rsidR="00EC713B" w:rsidRPr="00DA5DA3" w:rsidRDefault="00EC713B" w:rsidP="00EC713B">
      <w:pPr>
        <w:pStyle w:val="BodyText"/>
        <w:ind w:left="359"/>
        <w:rPr>
          <w:i/>
          <w:iCs/>
          <w:sz w:val="22"/>
          <w:szCs w:val="22"/>
        </w:rPr>
      </w:pPr>
      <w:r w:rsidRPr="00DA5DA3">
        <w:rPr>
          <w:i/>
          <w:iCs/>
          <w:sz w:val="22"/>
          <w:szCs w:val="22"/>
        </w:rPr>
        <w:t xml:space="preserve">Special precautions for use in animals </w:t>
      </w:r>
    </w:p>
    <w:p w14:paraId="31651B50" w14:textId="5878204B" w:rsidR="00CF7F3C" w:rsidRPr="00DA5DA3" w:rsidRDefault="00EC713B" w:rsidP="00CF7F3C">
      <w:pPr>
        <w:pStyle w:val="BodyText"/>
        <w:numPr>
          <w:ilvl w:val="0"/>
          <w:numId w:val="2"/>
        </w:numPr>
        <w:ind w:left="359" w:firstLine="0"/>
        <w:rPr>
          <w:sz w:val="22"/>
          <w:szCs w:val="22"/>
        </w:rPr>
      </w:pPr>
      <w:r w:rsidRPr="00DA5DA3">
        <w:rPr>
          <w:sz w:val="22"/>
          <w:szCs w:val="22"/>
        </w:rPr>
        <w:t>Care should be taken when dosing animals to avoid causing injury to the mouth and pharynx.</w:t>
      </w:r>
      <w:r w:rsidRPr="00DA5DA3">
        <w:rPr>
          <w:sz w:val="22"/>
          <w:szCs w:val="22"/>
        </w:rPr>
        <w:br/>
      </w:r>
      <w:r w:rsidRPr="00DA5DA3">
        <w:rPr>
          <w:i/>
          <w:iCs/>
          <w:sz w:val="22"/>
          <w:szCs w:val="22"/>
        </w:rPr>
        <w:t xml:space="preserve">Special precautions to be taken by the person administering the veterinary </w:t>
      </w:r>
      <w:proofErr w:type="spellStart"/>
      <w:r w:rsidRPr="00DA5DA3">
        <w:rPr>
          <w:i/>
          <w:iCs/>
          <w:sz w:val="22"/>
          <w:szCs w:val="22"/>
        </w:rPr>
        <w:t>medicineal</w:t>
      </w:r>
      <w:proofErr w:type="spellEnd"/>
      <w:r w:rsidRPr="00DA5DA3">
        <w:rPr>
          <w:i/>
          <w:iCs/>
          <w:sz w:val="22"/>
          <w:szCs w:val="22"/>
        </w:rPr>
        <w:t xml:space="preserve"> product to animals</w:t>
      </w:r>
    </w:p>
    <w:p w14:paraId="162BF1AE" w14:textId="796F72AA" w:rsidR="00EC713B" w:rsidRPr="00DA5DA3" w:rsidRDefault="00EC713B" w:rsidP="00CF7F3C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 xml:space="preserve">When using, do not eat, </w:t>
      </w:r>
      <w:proofErr w:type="gramStart"/>
      <w:r w:rsidRPr="00DA5DA3">
        <w:rPr>
          <w:sz w:val="22"/>
          <w:szCs w:val="22"/>
        </w:rPr>
        <w:t>drink</w:t>
      </w:r>
      <w:proofErr w:type="gramEnd"/>
      <w:r w:rsidRPr="00DA5DA3">
        <w:rPr>
          <w:sz w:val="22"/>
          <w:szCs w:val="22"/>
        </w:rPr>
        <w:t xml:space="preserve"> or smoke. </w:t>
      </w:r>
    </w:p>
    <w:p w14:paraId="613F61EB" w14:textId="77777777" w:rsidR="00EC713B" w:rsidRPr="00DA5DA3" w:rsidRDefault="00EC713B" w:rsidP="00CF7F3C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 xml:space="preserve">Wash splashes from eyes and skin immediately. </w:t>
      </w:r>
    </w:p>
    <w:p w14:paraId="2698CF71" w14:textId="77777777" w:rsidR="00EC713B" w:rsidRPr="00DA5DA3" w:rsidRDefault="00EC713B" w:rsidP="00CF7F3C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 xml:space="preserve">Take off immediately any contaminated clothing. </w:t>
      </w:r>
    </w:p>
    <w:p w14:paraId="6C22DDAD" w14:textId="77777777" w:rsidR="00EC713B" w:rsidRPr="00DA5DA3" w:rsidRDefault="00EC713B" w:rsidP="00CF7F3C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 xml:space="preserve">Wash hands and exposed skin before meals and after use. </w:t>
      </w:r>
    </w:p>
    <w:p w14:paraId="4500B874" w14:textId="77777777" w:rsidR="00EC713B" w:rsidRPr="00DA5DA3" w:rsidRDefault="00EC713B" w:rsidP="00EC713B">
      <w:pPr>
        <w:pStyle w:val="BodyText"/>
        <w:ind w:left="359"/>
        <w:rPr>
          <w:i/>
          <w:iCs/>
          <w:sz w:val="22"/>
          <w:szCs w:val="22"/>
        </w:rPr>
      </w:pPr>
      <w:r w:rsidRPr="00DA5DA3">
        <w:rPr>
          <w:i/>
          <w:iCs/>
          <w:sz w:val="22"/>
          <w:szCs w:val="22"/>
        </w:rPr>
        <w:t xml:space="preserve">Other precautions </w:t>
      </w:r>
    </w:p>
    <w:p w14:paraId="2900F477" w14:textId="77777777" w:rsidR="00EC713B" w:rsidRPr="00DA5DA3" w:rsidRDefault="00EC713B" w:rsidP="00CF7F3C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 xml:space="preserve">The use of this product may have harmful effects on fish and aquatic invertebrates. </w:t>
      </w:r>
    </w:p>
    <w:p w14:paraId="73665E7A" w14:textId="77777777" w:rsidR="00EC713B" w:rsidRPr="00DA5DA3" w:rsidRDefault="00EC713B" w:rsidP="00CF7F3C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 xml:space="preserve">Cattle must not have any access to the surface water such as streams, </w:t>
      </w:r>
      <w:proofErr w:type="gramStart"/>
      <w:r w:rsidRPr="00DA5DA3">
        <w:rPr>
          <w:sz w:val="22"/>
          <w:szCs w:val="22"/>
        </w:rPr>
        <w:t>ponds</w:t>
      </w:r>
      <w:proofErr w:type="gramEnd"/>
      <w:r w:rsidRPr="00DA5DA3">
        <w:rPr>
          <w:sz w:val="22"/>
          <w:szCs w:val="22"/>
        </w:rPr>
        <w:t xml:space="preserve"> or ditches within 7 days after treatment. </w:t>
      </w:r>
    </w:p>
    <w:p w14:paraId="2D5A0067" w14:textId="314E7D9F" w:rsidR="002714FD" w:rsidRPr="00DA5DA3" w:rsidRDefault="00EC713B" w:rsidP="00CF7F3C">
      <w:pPr>
        <w:pStyle w:val="BodyText"/>
        <w:numPr>
          <w:ilvl w:val="0"/>
          <w:numId w:val="2"/>
        </w:numPr>
        <w:ind w:left="360" w:firstLine="0"/>
        <w:rPr>
          <w:sz w:val="22"/>
          <w:szCs w:val="22"/>
        </w:rPr>
      </w:pPr>
      <w:r w:rsidRPr="00DA5DA3">
        <w:rPr>
          <w:sz w:val="22"/>
          <w:szCs w:val="22"/>
        </w:rPr>
        <w:t>When spreading manure from treated animals on arable lands, a safety distance of 10m to adjacent surface waters must be kept.</w:t>
      </w:r>
    </w:p>
    <w:p w14:paraId="2B36170D" w14:textId="551F22D7" w:rsidR="00CF7F3C" w:rsidRPr="00DA5DA3" w:rsidRDefault="00CF7F3C" w:rsidP="00CF7F3C">
      <w:pPr>
        <w:pStyle w:val="BodyText"/>
        <w:rPr>
          <w:sz w:val="22"/>
          <w:szCs w:val="22"/>
        </w:rPr>
      </w:pPr>
    </w:p>
    <w:p w14:paraId="26887922" w14:textId="59EAD409" w:rsidR="00CF7F3C" w:rsidRPr="00DA5DA3" w:rsidRDefault="00CF7F3C" w:rsidP="00DA5DA3">
      <w:pPr>
        <w:pStyle w:val="BodyText"/>
        <w:ind w:left="360"/>
        <w:rPr>
          <w:sz w:val="22"/>
          <w:szCs w:val="22"/>
        </w:rPr>
      </w:pPr>
      <w:r w:rsidRPr="005E12CF">
        <w:rPr>
          <w:b/>
          <w:bCs/>
          <w:w w:val="99"/>
          <w:sz w:val="22"/>
          <w:szCs w:val="24"/>
          <w:u w:val="single"/>
        </w:rPr>
        <w:t>Interaction with other medicinal products and other forms of interactions:</w:t>
      </w:r>
      <w:r w:rsidRPr="00DA5DA3">
        <w:rPr>
          <w:sz w:val="22"/>
          <w:szCs w:val="22"/>
        </w:rPr>
        <w:t xml:space="preserve"> None known. </w:t>
      </w:r>
    </w:p>
    <w:p w14:paraId="70CE377F" w14:textId="20D54D97" w:rsidR="002714FD" w:rsidRPr="00DA5DA3" w:rsidRDefault="002714FD">
      <w:pPr>
        <w:pStyle w:val="BodyText"/>
        <w:ind w:left="1565"/>
        <w:rPr>
          <w:sz w:val="22"/>
          <w:szCs w:val="22"/>
        </w:rPr>
      </w:pPr>
    </w:p>
    <w:p w14:paraId="1DFC5573" w14:textId="77777777" w:rsidR="005E12CF" w:rsidRDefault="005E12CF" w:rsidP="00CF7F3C">
      <w:pPr>
        <w:spacing w:before="92" w:line="229" w:lineRule="exact"/>
        <w:ind w:left="360"/>
        <w:rPr>
          <w:b/>
          <w:bCs/>
          <w:w w:val="99"/>
          <w:u w:val="thick" w:color="2F343B"/>
        </w:rPr>
      </w:pPr>
    </w:p>
    <w:p w14:paraId="320E580C" w14:textId="534BCCCA" w:rsidR="00CF7F3C" w:rsidRPr="00DA5DA3" w:rsidRDefault="00CF7F3C" w:rsidP="00CF7F3C">
      <w:pPr>
        <w:spacing w:before="92" w:line="229" w:lineRule="exact"/>
        <w:ind w:left="360"/>
      </w:pPr>
      <w:r w:rsidRPr="005E12CF">
        <w:rPr>
          <w:b/>
          <w:bCs/>
          <w:w w:val="99"/>
          <w:szCs w:val="24"/>
          <w:u w:val="single"/>
        </w:rPr>
        <w:t>Side effects</w:t>
      </w:r>
      <w:r w:rsidRPr="00DA5DA3">
        <w:rPr>
          <w:b/>
          <w:bCs/>
          <w:w w:val="99"/>
          <w:u w:val="thick" w:color="2F343B"/>
        </w:rPr>
        <w:br/>
      </w:r>
      <w:r w:rsidRPr="00DA5DA3">
        <w:t>Occasionally inflammation of the unpigmented skin, including the udder and the teats may occur after treatment in cattle exposed to intense sunshine.</w:t>
      </w:r>
    </w:p>
    <w:p w14:paraId="081F1073" w14:textId="56CAC15C" w:rsidR="00CF7F3C" w:rsidRPr="00DA5DA3" w:rsidRDefault="00CF7F3C" w:rsidP="00CF7F3C">
      <w:pPr>
        <w:spacing w:before="92" w:line="229" w:lineRule="exact"/>
        <w:ind w:left="360"/>
        <w:rPr>
          <w:b/>
          <w:bCs/>
          <w:w w:val="99"/>
          <w:u w:val="thick" w:color="2F343B"/>
        </w:rPr>
      </w:pPr>
      <w:r w:rsidRPr="005E12CF">
        <w:rPr>
          <w:b/>
          <w:bCs/>
          <w:w w:val="99"/>
          <w:szCs w:val="24"/>
          <w:u w:val="single"/>
        </w:rPr>
        <w:t>Use during pregnancy, lactation or lay:</w:t>
      </w:r>
      <w:r w:rsidRPr="00DA5DA3">
        <w:t xml:space="preserve"> </w:t>
      </w:r>
      <w:r w:rsidRPr="00DA5DA3">
        <w:br/>
        <w:t xml:space="preserve">The product is safe for use during pregnancy and lactation. However, the product is not permitted for use during lactation </w:t>
      </w:r>
      <w:r w:rsidR="007E4664" w:rsidRPr="00DA5DA3">
        <w:t>in animals</w:t>
      </w:r>
      <w:r w:rsidRPr="00DA5DA3">
        <w:t xml:space="preserve"> producing milk for human consumption.</w:t>
      </w:r>
      <w:r w:rsidRPr="00DA5DA3">
        <w:br/>
      </w:r>
    </w:p>
    <w:p w14:paraId="4E3FE3D7" w14:textId="77777777" w:rsidR="00C64EFB" w:rsidRPr="00DA5DA3" w:rsidRDefault="00CF7F3C" w:rsidP="00DA5DA3">
      <w:pPr>
        <w:pStyle w:val="BodyText"/>
        <w:spacing w:before="1"/>
        <w:ind w:left="360"/>
        <w:rPr>
          <w:sz w:val="22"/>
          <w:szCs w:val="22"/>
        </w:rPr>
      </w:pPr>
      <w:r w:rsidRPr="005E12CF">
        <w:rPr>
          <w:b/>
          <w:bCs/>
          <w:w w:val="99"/>
          <w:sz w:val="22"/>
          <w:szCs w:val="24"/>
          <w:u w:val="single"/>
        </w:rPr>
        <w:t>Withdrawal time:</w:t>
      </w:r>
      <w:r w:rsidRPr="00DA5DA3">
        <w:rPr>
          <w:sz w:val="22"/>
          <w:szCs w:val="22"/>
        </w:rPr>
        <w:t xml:space="preserve"> </w:t>
      </w:r>
      <w:r w:rsidRPr="00DA5DA3">
        <w:rPr>
          <w:sz w:val="22"/>
          <w:szCs w:val="22"/>
        </w:rPr>
        <w:br/>
        <w:t>Cattle</w:t>
      </w:r>
      <w:r w:rsidR="00C64EFB" w:rsidRPr="00DA5DA3">
        <w:rPr>
          <w:sz w:val="22"/>
          <w:szCs w:val="22"/>
        </w:rPr>
        <w:t xml:space="preserve"> and sheep</w:t>
      </w:r>
      <w:r w:rsidRPr="00DA5DA3">
        <w:rPr>
          <w:sz w:val="22"/>
          <w:szCs w:val="22"/>
        </w:rPr>
        <w:t xml:space="preserve"> (meat and offal): 56 days.</w:t>
      </w:r>
      <w:r w:rsidR="00C64EFB" w:rsidRPr="00DA5DA3">
        <w:rPr>
          <w:sz w:val="22"/>
          <w:szCs w:val="22"/>
        </w:rPr>
        <w:br/>
        <w:t>Cattle and sheep (milk): not permitted for use in animals producing milk for human consumption, including pregnant animals intended to produce milk for human consumption.</w:t>
      </w:r>
    </w:p>
    <w:p w14:paraId="21D988F8" w14:textId="77777777" w:rsidR="00C64EFB" w:rsidRPr="00DA5DA3" w:rsidRDefault="00C64EFB" w:rsidP="00DA5DA3">
      <w:pPr>
        <w:pStyle w:val="BodyText"/>
        <w:spacing w:before="1"/>
        <w:ind w:left="360"/>
        <w:rPr>
          <w:sz w:val="22"/>
          <w:szCs w:val="22"/>
        </w:rPr>
      </w:pPr>
    </w:p>
    <w:p w14:paraId="79C31F50" w14:textId="77777777" w:rsidR="00DA5DA3" w:rsidRPr="00DA5DA3" w:rsidRDefault="00C64EFB" w:rsidP="00DA5DA3">
      <w:pPr>
        <w:pStyle w:val="BodyText"/>
        <w:spacing w:before="1"/>
        <w:ind w:left="360"/>
        <w:rPr>
          <w:sz w:val="22"/>
          <w:szCs w:val="22"/>
        </w:rPr>
      </w:pPr>
      <w:r w:rsidRPr="005E12CF">
        <w:rPr>
          <w:b/>
          <w:bCs/>
          <w:w w:val="99"/>
          <w:sz w:val="22"/>
          <w:szCs w:val="24"/>
          <w:u w:val="single"/>
        </w:rPr>
        <w:t>Storage:</w:t>
      </w:r>
      <w:r w:rsidRPr="00DA5DA3">
        <w:rPr>
          <w:sz w:val="22"/>
          <w:szCs w:val="22"/>
        </w:rPr>
        <w:t xml:space="preserve"> </w:t>
      </w:r>
      <w:r w:rsidRPr="00DA5DA3">
        <w:rPr>
          <w:sz w:val="22"/>
          <w:szCs w:val="22"/>
        </w:rPr>
        <w:br/>
        <w:t>Store at temperature not exceeding 30⸰C, away from direct sunlight.</w:t>
      </w:r>
      <w:r w:rsidRPr="00DA5DA3">
        <w:rPr>
          <w:sz w:val="22"/>
          <w:szCs w:val="22"/>
        </w:rPr>
        <w:br/>
        <w:t>Do not freeze</w:t>
      </w:r>
      <w:r w:rsidRPr="00DA5DA3">
        <w:rPr>
          <w:sz w:val="22"/>
          <w:szCs w:val="22"/>
        </w:rPr>
        <w:br/>
      </w:r>
    </w:p>
    <w:p w14:paraId="35A8A986" w14:textId="77777777" w:rsidR="00DA5DA3" w:rsidRDefault="00C64EFB" w:rsidP="00DA5DA3">
      <w:pPr>
        <w:pStyle w:val="BodyText"/>
        <w:spacing w:before="1"/>
        <w:ind w:left="360"/>
        <w:rPr>
          <w:sz w:val="28"/>
        </w:rPr>
      </w:pPr>
      <w:r w:rsidRPr="005E12CF">
        <w:rPr>
          <w:b/>
          <w:bCs/>
          <w:w w:val="99"/>
          <w:sz w:val="22"/>
          <w:szCs w:val="24"/>
          <w:u w:val="single"/>
        </w:rPr>
        <w:t>Package:</w:t>
      </w:r>
      <w:r w:rsidRPr="00DA5DA3">
        <w:rPr>
          <w:b/>
          <w:bCs/>
          <w:w w:val="99"/>
          <w:sz w:val="22"/>
          <w:szCs w:val="22"/>
          <w:u w:val="thick" w:color="2F343B"/>
        </w:rPr>
        <w:t xml:space="preserve"> </w:t>
      </w:r>
      <w:r w:rsidRPr="00DA5DA3">
        <w:rPr>
          <w:sz w:val="22"/>
          <w:szCs w:val="22"/>
        </w:rPr>
        <w:br/>
        <w:t>Opaque polypropylene (BP) bottle with tamper</w:t>
      </w:r>
      <w:r w:rsidR="0017223F" w:rsidRPr="00DA5DA3">
        <w:rPr>
          <w:sz w:val="22"/>
          <w:szCs w:val="22"/>
        </w:rPr>
        <w:t>-</w:t>
      </w:r>
      <w:r w:rsidRPr="00DA5DA3">
        <w:rPr>
          <w:sz w:val="22"/>
          <w:szCs w:val="22"/>
        </w:rPr>
        <w:t>proof</w:t>
      </w:r>
      <w:r w:rsidR="0017223F" w:rsidRPr="00DA5DA3">
        <w:rPr>
          <w:sz w:val="22"/>
          <w:szCs w:val="22"/>
        </w:rPr>
        <w:t xml:space="preserve"> PP screw cap of 100,500,800 ml, 1,2 or 5 liters</w:t>
      </w:r>
      <w:r w:rsidR="0017223F">
        <w:rPr>
          <w:sz w:val="28"/>
        </w:rPr>
        <w:br/>
      </w:r>
    </w:p>
    <w:p w14:paraId="3233F94D" w14:textId="227C3E3E" w:rsidR="002714FD" w:rsidRPr="00DA5DA3" w:rsidRDefault="0017223F" w:rsidP="00DA5DA3">
      <w:pPr>
        <w:pStyle w:val="BodyText"/>
        <w:spacing w:before="1"/>
        <w:jc w:val="center"/>
        <w:rPr>
          <w:sz w:val="24"/>
          <w:szCs w:val="22"/>
        </w:rPr>
      </w:pPr>
      <w:r w:rsidRPr="00DA5DA3">
        <w:rPr>
          <w:sz w:val="24"/>
          <w:szCs w:val="22"/>
        </w:rPr>
        <w:t>EVA Pharma for Pharmaceuticals and medical appliances, Giza, Egypt</w:t>
      </w:r>
    </w:p>
    <w:p w14:paraId="0EEFC3AF" w14:textId="77777777" w:rsidR="002714FD" w:rsidRDefault="002714FD">
      <w:pPr>
        <w:pStyle w:val="BodyText"/>
        <w:rPr>
          <w:sz w:val="20"/>
        </w:rPr>
      </w:pPr>
    </w:p>
    <w:p w14:paraId="1F32D9B5" w14:textId="77777777" w:rsidR="002714FD" w:rsidRDefault="002714FD">
      <w:pPr>
        <w:pStyle w:val="BodyText"/>
        <w:rPr>
          <w:sz w:val="20"/>
        </w:rPr>
      </w:pPr>
    </w:p>
    <w:p w14:paraId="7CD6B304" w14:textId="77777777" w:rsidR="002714FD" w:rsidRDefault="002714FD">
      <w:pPr>
        <w:pStyle w:val="BodyText"/>
        <w:rPr>
          <w:sz w:val="20"/>
        </w:rPr>
      </w:pPr>
    </w:p>
    <w:p w14:paraId="0732C29B" w14:textId="77777777" w:rsidR="002714FD" w:rsidRDefault="002714FD">
      <w:pPr>
        <w:sectPr w:rsidR="002714FD" w:rsidSect="0017223F">
          <w:type w:val="continuous"/>
          <w:pgSz w:w="12240" w:h="17120"/>
          <w:pgMar w:top="2340" w:right="1080" w:bottom="3240" w:left="540" w:header="720" w:footer="720" w:gutter="0"/>
          <w:cols w:space="720"/>
        </w:sectPr>
      </w:pPr>
    </w:p>
    <w:p w14:paraId="24ACBB90" w14:textId="40E2EFDE" w:rsidR="002714FD" w:rsidRDefault="00E75F87" w:rsidP="0017223F">
      <w:pPr>
        <w:pStyle w:val="BodyText"/>
        <w:rPr>
          <w:rFonts w:ascii="Courier New"/>
          <w:sz w:val="20"/>
        </w:rPr>
      </w:pPr>
      <w:r>
        <w:lastRenderedPageBreak/>
        <w:pict w14:anchorId="1C42B797">
          <v:group id="_x0000_s1060" style="position:absolute;margin-left:14.4pt;margin-top:775.05pt;width:388.55pt;height:37.5pt;z-index:-251658240;mso-position-horizontal-relative:page;mso-position-vertical-relative:page" coordorigin="288,15501" coordsize="7771,750">
            <v:line id="_x0000_s1062" style="position:absolute" from="923,16132" to="3450,16132" strokecolor="#6b7077" strokeweight=".59292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288;top:15500;width:7771;height:750">
              <v:imagedata r:id="rId5" o:title=""/>
            </v:shape>
            <w10:wrap anchorx="page" anchory="page"/>
          </v:group>
        </w:pict>
      </w:r>
    </w:p>
    <w:p w14:paraId="11A446AD" w14:textId="77777777" w:rsidR="002714FD" w:rsidRDefault="002714FD">
      <w:pPr>
        <w:pStyle w:val="BodyText"/>
        <w:spacing w:before="5"/>
        <w:rPr>
          <w:rFonts w:ascii="Courier New"/>
          <w:sz w:val="29"/>
        </w:rPr>
      </w:pPr>
    </w:p>
    <w:sectPr w:rsidR="002714FD">
      <w:pgSz w:w="12000" w:h="8000" w:orient="landscape"/>
      <w:pgMar w:top="72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50806"/>
    <w:multiLevelType w:val="hybridMultilevel"/>
    <w:tmpl w:val="0C6868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BA1D22"/>
    <w:multiLevelType w:val="hybridMultilevel"/>
    <w:tmpl w:val="929006AC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4FD"/>
    <w:rsid w:val="000E11A8"/>
    <w:rsid w:val="0017223F"/>
    <w:rsid w:val="001939EE"/>
    <w:rsid w:val="001A601A"/>
    <w:rsid w:val="00204DD5"/>
    <w:rsid w:val="002714FD"/>
    <w:rsid w:val="00334230"/>
    <w:rsid w:val="00466EB0"/>
    <w:rsid w:val="005E12CF"/>
    <w:rsid w:val="007414AF"/>
    <w:rsid w:val="007E4664"/>
    <w:rsid w:val="00B01F13"/>
    <w:rsid w:val="00BE384E"/>
    <w:rsid w:val="00C05F60"/>
    <w:rsid w:val="00C55767"/>
    <w:rsid w:val="00C64EFB"/>
    <w:rsid w:val="00CC6AB9"/>
    <w:rsid w:val="00CF7F3C"/>
    <w:rsid w:val="00DA5DA3"/>
    <w:rsid w:val="00DB0858"/>
    <w:rsid w:val="00DC68EA"/>
    <w:rsid w:val="00E75F87"/>
    <w:rsid w:val="00EB6244"/>
    <w:rsid w:val="00EC713B"/>
    <w:rsid w:val="00ED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  <w14:docId w14:val="084AE46C"/>
  <w15:docId w15:val="{740E8CD9-3899-4CC9-825B-57AB9F2B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line="332" w:lineRule="exact"/>
      <w:ind w:left="81" w:right="3737"/>
      <w:jc w:val="center"/>
      <w:outlineLvl w:val="0"/>
    </w:pPr>
    <w:rPr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Fekry [Pharma]</cp:lastModifiedBy>
  <cp:revision>5</cp:revision>
  <dcterms:created xsi:type="dcterms:W3CDTF">2021-12-09T12:54:00Z</dcterms:created>
  <dcterms:modified xsi:type="dcterms:W3CDTF">2022-06-20T09:24:00Z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2021-12-09T00:00:00Z</vt:filetime>
  </property>
</Properties>
</file>